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0A98A" w14:textId="77777777" w:rsidR="004273D5" w:rsidRPr="00824640" w:rsidRDefault="004273D5" w:rsidP="004273D5">
      <w:pPr>
        <w:widowControl w:val="0"/>
        <w:jc w:val="center"/>
        <w:rPr>
          <w:b/>
          <w:bCs/>
          <w:sz w:val="24"/>
          <w:szCs w:val="24"/>
        </w:rPr>
      </w:pPr>
      <w:r w:rsidRPr="00824640">
        <w:rPr>
          <w:b/>
          <w:sz w:val="24"/>
          <w:lang w:bidi="en-US"/>
        </w:rPr>
        <w:t>Notice of Essential Fact</w:t>
      </w:r>
    </w:p>
    <w:p w14:paraId="65D4E314" w14:textId="77777777" w:rsidR="0078738E" w:rsidRPr="00824640" w:rsidRDefault="004273D5" w:rsidP="004273D5">
      <w:pPr>
        <w:widowControl w:val="0"/>
        <w:jc w:val="center"/>
        <w:rPr>
          <w:b/>
          <w:sz w:val="24"/>
          <w:szCs w:val="24"/>
        </w:rPr>
      </w:pPr>
      <w:r w:rsidRPr="00824640">
        <w:rPr>
          <w:b/>
          <w:sz w:val="24"/>
          <w:lang w:bidi="en-US"/>
        </w:rPr>
        <w:t xml:space="preserve">"On Execution by the Issuer of an Interested Party Transaction" </w:t>
      </w:r>
    </w:p>
    <w:p w14:paraId="33186F33" w14:textId="77777777" w:rsidR="00A05B58" w:rsidRPr="00824640" w:rsidRDefault="00A05B58" w:rsidP="004273D5">
      <w:pPr>
        <w:widowControl w:val="0"/>
        <w:jc w:val="center"/>
        <w:rPr>
          <w:b/>
          <w:sz w:val="24"/>
          <w:szCs w:val="24"/>
        </w:rPr>
      </w:pPr>
      <w:r w:rsidRPr="00824640">
        <w:rPr>
          <w:b/>
          <w:sz w:val="24"/>
          <w:lang w:bidi="en-US"/>
        </w:rPr>
        <w:t xml:space="preserve"> (Disclosure of Insider Information) </w:t>
      </w:r>
    </w:p>
    <w:p w14:paraId="4B6ED7CF" w14:textId="77777777" w:rsidR="004273D5" w:rsidRPr="00824640" w:rsidRDefault="004273D5" w:rsidP="004273D5">
      <w:pPr>
        <w:widowControl w:val="0"/>
        <w:jc w:val="center"/>
        <w:rPr>
          <w:b/>
          <w:sz w:val="24"/>
          <w:szCs w:val="24"/>
        </w:rPr>
      </w:pPr>
    </w:p>
    <w:p w14:paraId="765A09B2" w14:textId="77777777" w:rsidR="006B4BD6" w:rsidRPr="00824640"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824640" w14:paraId="7705B3F2" w14:textId="77777777" w:rsidTr="00FE6E08">
        <w:trPr>
          <w:trHeight w:val="20"/>
          <w:jc w:val="center"/>
        </w:trPr>
        <w:tc>
          <w:tcPr>
            <w:tcW w:w="10485" w:type="dxa"/>
            <w:gridSpan w:val="3"/>
            <w:vAlign w:val="center"/>
          </w:tcPr>
          <w:p w14:paraId="7732E846" w14:textId="77777777" w:rsidR="00137C8F" w:rsidRPr="00824640" w:rsidRDefault="00137C8F" w:rsidP="006424E1">
            <w:pPr>
              <w:widowControl w:val="0"/>
              <w:autoSpaceDE/>
              <w:autoSpaceDN/>
              <w:spacing w:after="60"/>
              <w:jc w:val="center"/>
              <w:rPr>
                <w:sz w:val="24"/>
                <w:szCs w:val="24"/>
              </w:rPr>
            </w:pPr>
            <w:r w:rsidRPr="00824640">
              <w:rPr>
                <w:sz w:val="24"/>
                <w:lang w:bidi="en-US"/>
              </w:rPr>
              <w:t>1. General data</w:t>
            </w:r>
          </w:p>
        </w:tc>
      </w:tr>
      <w:tr w:rsidR="00137C8F" w:rsidRPr="00824640" w14:paraId="0C2601AD" w14:textId="77777777" w:rsidTr="002A41E5">
        <w:trPr>
          <w:trHeight w:val="20"/>
          <w:jc w:val="center"/>
        </w:trPr>
        <w:tc>
          <w:tcPr>
            <w:tcW w:w="5240" w:type="dxa"/>
            <w:vAlign w:val="center"/>
          </w:tcPr>
          <w:p w14:paraId="30D5481F" w14:textId="77777777" w:rsidR="00137C8F" w:rsidRPr="00824640" w:rsidRDefault="00137C8F" w:rsidP="006424E1">
            <w:pPr>
              <w:widowControl w:val="0"/>
              <w:ind w:left="57"/>
              <w:rPr>
                <w:sz w:val="24"/>
                <w:szCs w:val="24"/>
              </w:rPr>
            </w:pPr>
            <w:r w:rsidRPr="00824640">
              <w:rPr>
                <w:sz w:val="24"/>
                <w:lang w:bidi="en-US"/>
              </w:rPr>
              <w:t>1.1. Issuer's full business name</w:t>
            </w:r>
          </w:p>
        </w:tc>
        <w:tc>
          <w:tcPr>
            <w:tcW w:w="5245" w:type="dxa"/>
            <w:gridSpan w:val="2"/>
          </w:tcPr>
          <w:p w14:paraId="013C94D3" w14:textId="77777777" w:rsidR="00137C8F" w:rsidRPr="00824640" w:rsidRDefault="00137C8F" w:rsidP="006424E1">
            <w:pPr>
              <w:widowControl w:val="0"/>
              <w:ind w:left="57"/>
              <w:rPr>
                <w:sz w:val="24"/>
                <w:szCs w:val="24"/>
              </w:rPr>
            </w:pPr>
            <w:r w:rsidRPr="00824640">
              <w:rPr>
                <w:sz w:val="24"/>
                <w:lang w:bidi="en-US"/>
              </w:rPr>
              <w:t>Interregional Distribution Grid Company of North-West</w:t>
            </w:r>
            <w:r w:rsidR="00824640">
              <w:rPr>
                <w:sz w:val="24"/>
                <w:lang w:bidi="en-US"/>
              </w:rPr>
              <w:t>,</w:t>
            </w:r>
            <w:r w:rsidRPr="00824640">
              <w:rPr>
                <w:sz w:val="24"/>
                <w:lang w:bidi="en-US"/>
              </w:rPr>
              <w:t xml:space="preserve"> Public Joint Stock Company</w:t>
            </w:r>
          </w:p>
        </w:tc>
      </w:tr>
      <w:tr w:rsidR="00137C8F" w:rsidRPr="00824640" w14:paraId="1AC0270A" w14:textId="77777777" w:rsidTr="002A41E5">
        <w:trPr>
          <w:trHeight w:val="20"/>
          <w:jc w:val="center"/>
        </w:trPr>
        <w:tc>
          <w:tcPr>
            <w:tcW w:w="5240" w:type="dxa"/>
            <w:vAlign w:val="center"/>
          </w:tcPr>
          <w:p w14:paraId="291B04F8" w14:textId="77777777" w:rsidR="00137C8F" w:rsidRPr="00824640" w:rsidRDefault="00137C8F" w:rsidP="006424E1">
            <w:pPr>
              <w:widowControl w:val="0"/>
              <w:ind w:left="57"/>
              <w:rPr>
                <w:sz w:val="24"/>
                <w:szCs w:val="24"/>
              </w:rPr>
            </w:pPr>
            <w:r w:rsidRPr="00824640">
              <w:rPr>
                <w:sz w:val="24"/>
                <w:lang w:bidi="en-US"/>
              </w:rPr>
              <w:t>1.2. Issuer’s abbreviated business name</w:t>
            </w:r>
          </w:p>
        </w:tc>
        <w:tc>
          <w:tcPr>
            <w:tcW w:w="5245" w:type="dxa"/>
            <w:gridSpan w:val="2"/>
            <w:vAlign w:val="center"/>
          </w:tcPr>
          <w:p w14:paraId="0C9A6923" w14:textId="77777777" w:rsidR="00137C8F" w:rsidRPr="00824640" w:rsidRDefault="00137C8F" w:rsidP="006424E1">
            <w:pPr>
              <w:widowControl w:val="0"/>
              <w:ind w:left="57"/>
              <w:rPr>
                <w:sz w:val="24"/>
                <w:szCs w:val="24"/>
              </w:rPr>
            </w:pPr>
            <w:r w:rsidRPr="00824640">
              <w:rPr>
                <w:sz w:val="24"/>
                <w:lang w:bidi="en-US"/>
              </w:rPr>
              <w:t>IDGC of North-West, PJSC</w:t>
            </w:r>
          </w:p>
        </w:tc>
      </w:tr>
      <w:tr w:rsidR="00137C8F" w:rsidRPr="00824640" w14:paraId="50FB3A7B" w14:textId="77777777" w:rsidTr="002A41E5">
        <w:trPr>
          <w:trHeight w:val="20"/>
          <w:jc w:val="center"/>
        </w:trPr>
        <w:tc>
          <w:tcPr>
            <w:tcW w:w="5240" w:type="dxa"/>
            <w:vAlign w:val="center"/>
          </w:tcPr>
          <w:p w14:paraId="58A6791E" w14:textId="77777777" w:rsidR="00137C8F" w:rsidRPr="00824640" w:rsidRDefault="00137C8F" w:rsidP="006424E1">
            <w:pPr>
              <w:widowControl w:val="0"/>
              <w:ind w:left="57"/>
              <w:rPr>
                <w:sz w:val="24"/>
                <w:szCs w:val="24"/>
              </w:rPr>
            </w:pPr>
            <w:r w:rsidRPr="00824640">
              <w:rPr>
                <w:sz w:val="24"/>
                <w:lang w:bidi="en-US"/>
              </w:rPr>
              <w:t>1.3. Issuer’s place of business</w:t>
            </w:r>
          </w:p>
        </w:tc>
        <w:tc>
          <w:tcPr>
            <w:tcW w:w="5245" w:type="dxa"/>
            <w:gridSpan w:val="2"/>
          </w:tcPr>
          <w:p w14:paraId="05816B3A" w14:textId="77777777" w:rsidR="00137C8F" w:rsidRPr="00824640" w:rsidRDefault="00DA715F" w:rsidP="0029655F">
            <w:pPr>
              <w:widowControl w:val="0"/>
              <w:ind w:left="57" w:right="57"/>
              <w:rPr>
                <w:sz w:val="24"/>
                <w:szCs w:val="24"/>
              </w:rPr>
            </w:pPr>
            <w:r w:rsidRPr="00824640">
              <w:rPr>
                <w:sz w:val="24"/>
                <w:lang w:bidi="en-US"/>
              </w:rPr>
              <w:t xml:space="preserve">Saint Petersburg, Russia </w:t>
            </w:r>
          </w:p>
        </w:tc>
      </w:tr>
      <w:tr w:rsidR="00137C8F" w:rsidRPr="00824640" w14:paraId="652D04CC" w14:textId="77777777" w:rsidTr="002A41E5">
        <w:trPr>
          <w:trHeight w:val="20"/>
          <w:jc w:val="center"/>
        </w:trPr>
        <w:tc>
          <w:tcPr>
            <w:tcW w:w="5240" w:type="dxa"/>
          </w:tcPr>
          <w:p w14:paraId="50FF532E" w14:textId="77777777" w:rsidR="00137C8F" w:rsidRPr="00824640" w:rsidRDefault="00137C8F" w:rsidP="006424E1">
            <w:pPr>
              <w:widowControl w:val="0"/>
              <w:spacing w:before="40" w:after="40"/>
              <w:ind w:left="57"/>
              <w:rPr>
                <w:sz w:val="24"/>
                <w:szCs w:val="24"/>
              </w:rPr>
            </w:pPr>
            <w:r w:rsidRPr="00824640">
              <w:rPr>
                <w:sz w:val="24"/>
                <w:lang w:bidi="en-US"/>
              </w:rPr>
              <w:t>1.4. Issuer’s OGRN (Primary State Registration Number)</w:t>
            </w:r>
          </w:p>
        </w:tc>
        <w:tc>
          <w:tcPr>
            <w:tcW w:w="5245" w:type="dxa"/>
            <w:gridSpan w:val="2"/>
          </w:tcPr>
          <w:p w14:paraId="6E26E506" w14:textId="77777777" w:rsidR="00137C8F" w:rsidRPr="00824640" w:rsidRDefault="00137C8F" w:rsidP="006424E1">
            <w:pPr>
              <w:widowControl w:val="0"/>
              <w:spacing w:before="40" w:after="40"/>
              <w:ind w:left="57"/>
              <w:rPr>
                <w:sz w:val="24"/>
                <w:szCs w:val="24"/>
              </w:rPr>
            </w:pPr>
            <w:r w:rsidRPr="00824640">
              <w:rPr>
                <w:sz w:val="24"/>
                <w:lang w:bidi="en-US"/>
              </w:rPr>
              <w:t>1047855175785</w:t>
            </w:r>
          </w:p>
        </w:tc>
      </w:tr>
      <w:tr w:rsidR="00137C8F" w:rsidRPr="00824640" w14:paraId="2471F81F" w14:textId="77777777" w:rsidTr="002A41E5">
        <w:trPr>
          <w:trHeight w:val="20"/>
          <w:jc w:val="center"/>
        </w:trPr>
        <w:tc>
          <w:tcPr>
            <w:tcW w:w="5240" w:type="dxa"/>
          </w:tcPr>
          <w:p w14:paraId="0B1DFC6D" w14:textId="77777777" w:rsidR="00137C8F" w:rsidRPr="00824640" w:rsidRDefault="00137C8F" w:rsidP="006424E1">
            <w:pPr>
              <w:widowControl w:val="0"/>
              <w:spacing w:before="40" w:after="40"/>
              <w:ind w:left="57"/>
              <w:rPr>
                <w:sz w:val="24"/>
                <w:szCs w:val="24"/>
              </w:rPr>
            </w:pPr>
            <w:r w:rsidRPr="00824640">
              <w:rPr>
                <w:sz w:val="24"/>
                <w:lang w:bidi="en-US"/>
              </w:rPr>
              <w:t>1.5. Issuer’s INN (Taxpayer Identification Number)</w:t>
            </w:r>
          </w:p>
        </w:tc>
        <w:tc>
          <w:tcPr>
            <w:tcW w:w="5245" w:type="dxa"/>
            <w:gridSpan w:val="2"/>
          </w:tcPr>
          <w:p w14:paraId="18698DCF" w14:textId="77777777" w:rsidR="00137C8F" w:rsidRPr="00824640" w:rsidRDefault="00137C8F" w:rsidP="008E51CC">
            <w:pPr>
              <w:widowControl w:val="0"/>
              <w:spacing w:before="40" w:after="40"/>
              <w:ind w:left="57"/>
              <w:rPr>
                <w:sz w:val="24"/>
                <w:szCs w:val="24"/>
              </w:rPr>
            </w:pPr>
            <w:r w:rsidRPr="00824640">
              <w:rPr>
                <w:sz w:val="24"/>
                <w:lang w:bidi="en-US"/>
              </w:rPr>
              <w:t>7802312751</w:t>
            </w:r>
          </w:p>
        </w:tc>
      </w:tr>
      <w:tr w:rsidR="00137C8F" w:rsidRPr="00824640" w14:paraId="7A700D6A" w14:textId="77777777" w:rsidTr="002A41E5">
        <w:trPr>
          <w:trHeight w:val="644"/>
          <w:jc w:val="center"/>
        </w:trPr>
        <w:tc>
          <w:tcPr>
            <w:tcW w:w="5240" w:type="dxa"/>
          </w:tcPr>
          <w:p w14:paraId="43488066" w14:textId="77777777" w:rsidR="00137C8F" w:rsidRPr="00824640" w:rsidRDefault="00137C8F" w:rsidP="006424E1">
            <w:pPr>
              <w:widowControl w:val="0"/>
              <w:ind w:left="57"/>
              <w:rPr>
                <w:sz w:val="24"/>
                <w:szCs w:val="24"/>
              </w:rPr>
            </w:pPr>
            <w:r w:rsidRPr="00824640">
              <w:rPr>
                <w:sz w:val="24"/>
                <w:lang w:bidi="en-US"/>
              </w:rPr>
              <w:t>1.6. Issuer’s unique code assigned by the registration body</w:t>
            </w:r>
          </w:p>
        </w:tc>
        <w:tc>
          <w:tcPr>
            <w:tcW w:w="5245" w:type="dxa"/>
            <w:gridSpan w:val="2"/>
            <w:vAlign w:val="center"/>
          </w:tcPr>
          <w:p w14:paraId="4F72994D" w14:textId="77777777" w:rsidR="00137C8F" w:rsidRPr="00824640" w:rsidRDefault="00137C8F" w:rsidP="006424E1">
            <w:pPr>
              <w:widowControl w:val="0"/>
              <w:ind w:left="57"/>
              <w:rPr>
                <w:sz w:val="24"/>
                <w:szCs w:val="24"/>
              </w:rPr>
            </w:pPr>
            <w:r w:rsidRPr="00824640">
              <w:rPr>
                <w:sz w:val="24"/>
                <w:lang w:bidi="en-US"/>
              </w:rPr>
              <w:t>03347-D</w:t>
            </w:r>
          </w:p>
        </w:tc>
      </w:tr>
      <w:tr w:rsidR="00137C8F" w:rsidRPr="00824640" w14:paraId="31E7E4E0" w14:textId="77777777" w:rsidTr="002A41E5">
        <w:trPr>
          <w:trHeight w:val="20"/>
          <w:jc w:val="center"/>
        </w:trPr>
        <w:tc>
          <w:tcPr>
            <w:tcW w:w="5240" w:type="dxa"/>
          </w:tcPr>
          <w:p w14:paraId="37BF91AC" w14:textId="77777777" w:rsidR="00D53E09" w:rsidRPr="00824640" w:rsidRDefault="00137C8F" w:rsidP="006424E1">
            <w:pPr>
              <w:widowControl w:val="0"/>
              <w:ind w:left="57"/>
              <w:rPr>
                <w:sz w:val="24"/>
                <w:szCs w:val="24"/>
              </w:rPr>
            </w:pPr>
            <w:r w:rsidRPr="00824640">
              <w:rPr>
                <w:sz w:val="24"/>
                <w:lang w:bidi="en-US"/>
              </w:rPr>
              <w:t>1.7. Web page address used by the Issuer for information disclosure</w:t>
            </w:r>
          </w:p>
        </w:tc>
        <w:tc>
          <w:tcPr>
            <w:tcW w:w="5245" w:type="dxa"/>
            <w:gridSpan w:val="2"/>
          </w:tcPr>
          <w:p w14:paraId="4B443831" w14:textId="77777777" w:rsidR="00FC317A" w:rsidRPr="00824640" w:rsidRDefault="00E838F8" w:rsidP="00FC317A">
            <w:pPr>
              <w:widowControl w:val="0"/>
              <w:ind w:left="57"/>
              <w:rPr>
                <w:b/>
                <w:i/>
                <w:color w:val="0033CC"/>
                <w:sz w:val="24"/>
                <w:szCs w:val="24"/>
              </w:rPr>
            </w:pPr>
            <w:hyperlink r:id="rId9" w:history="1">
              <w:r w:rsidR="00FC317A" w:rsidRPr="00824640">
                <w:rPr>
                  <w:rStyle w:val="ab"/>
                  <w:b/>
                  <w:i/>
                  <w:color w:val="0033CC"/>
                  <w:sz w:val="24"/>
                  <w:lang w:bidi="en-US"/>
                </w:rPr>
                <w:t>http://www.e-disclosure.ru/portal/company.aspx?id=12761</w:t>
              </w:r>
            </w:hyperlink>
            <w:r w:rsidR="00270F37" w:rsidRPr="00824640">
              <w:rPr>
                <w:b/>
                <w:i/>
                <w:color w:val="0033CC"/>
                <w:sz w:val="24"/>
                <w:lang w:bidi="en-US"/>
              </w:rPr>
              <w:t>,</w:t>
            </w:r>
          </w:p>
          <w:p w14:paraId="132C9F4C" w14:textId="77777777" w:rsidR="00057715" w:rsidRPr="00824640" w:rsidRDefault="00E838F8" w:rsidP="009447C0">
            <w:pPr>
              <w:widowControl w:val="0"/>
              <w:ind w:left="57"/>
              <w:rPr>
                <w:b/>
                <w:i/>
                <w:color w:val="0033CC"/>
                <w:sz w:val="24"/>
                <w:szCs w:val="24"/>
              </w:rPr>
            </w:pPr>
            <w:hyperlink r:id="rId10" w:history="1">
              <w:r w:rsidR="00FC317A" w:rsidRPr="00824640">
                <w:rPr>
                  <w:rStyle w:val="ab"/>
                  <w:b/>
                  <w:i/>
                  <w:color w:val="0033CC"/>
                  <w:sz w:val="24"/>
                  <w:lang w:bidi="en-US"/>
                </w:rPr>
                <w:t>http://www.mrsksevzap.ru</w:t>
              </w:r>
            </w:hyperlink>
          </w:p>
        </w:tc>
      </w:tr>
      <w:tr w:rsidR="00D02937" w:rsidRPr="00824640" w14:paraId="1524CB3B" w14:textId="77777777" w:rsidTr="002A41E5">
        <w:trPr>
          <w:trHeight w:val="20"/>
          <w:jc w:val="center"/>
        </w:trPr>
        <w:tc>
          <w:tcPr>
            <w:tcW w:w="5240" w:type="dxa"/>
          </w:tcPr>
          <w:p w14:paraId="28443D0B" w14:textId="77777777" w:rsidR="00D02937" w:rsidRPr="00824640" w:rsidRDefault="00FC42D6" w:rsidP="006424E1">
            <w:pPr>
              <w:widowControl w:val="0"/>
              <w:ind w:left="57"/>
              <w:rPr>
                <w:sz w:val="24"/>
                <w:szCs w:val="24"/>
              </w:rPr>
            </w:pPr>
            <w:r w:rsidRPr="00824640">
              <w:rPr>
                <w:sz w:val="24"/>
                <w:lang w:bidi="en-US"/>
              </w:rPr>
              <w:t>1.8. Date of occurrence of the event (essential fact)</w:t>
            </w:r>
            <w:r w:rsidR="00824640">
              <w:rPr>
                <w:sz w:val="24"/>
                <w:lang w:bidi="en-US"/>
              </w:rPr>
              <w:t xml:space="preserve"> </w:t>
            </w:r>
            <w:r w:rsidRPr="00824640">
              <w:rPr>
                <w:sz w:val="24"/>
                <w:lang w:bidi="en-US"/>
              </w:rPr>
              <w:t xml:space="preserve">about which the notice is drawn up (if applicable) </w:t>
            </w:r>
          </w:p>
        </w:tc>
        <w:tc>
          <w:tcPr>
            <w:tcW w:w="5245" w:type="dxa"/>
            <w:gridSpan w:val="2"/>
          </w:tcPr>
          <w:p w14:paraId="5CE69667" w14:textId="77777777" w:rsidR="00D02937" w:rsidRPr="00824640" w:rsidRDefault="00824640" w:rsidP="006424E1">
            <w:pPr>
              <w:widowControl w:val="0"/>
              <w:ind w:left="57"/>
              <w:rPr>
                <w:b/>
                <w:sz w:val="24"/>
                <w:szCs w:val="24"/>
              </w:rPr>
            </w:pPr>
            <w:r>
              <w:rPr>
                <w:b/>
                <w:sz w:val="24"/>
                <w:lang w:bidi="en-US"/>
              </w:rPr>
              <w:t>November 03, 2020</w:t>
            </w:r>
          </w:p>
        </w:tc>
      </w:tr>
      <w:tr w:rsidR="00137C8F" w:rsidRPr="00824640" w14:paraId="5FA2A5E6"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3F9559CB" w14:textId="77777777" w:rsidR="00137C8F" w:rsidRPr="00824640" w:rsidRDefault="00137C8F" w:rsidP="006424E1">
            <w:pPr>
              <w:widowControl w:val="0"/>
              <w:autoSpaceDE/>
              <w:autoSpaceDN/>
              <w:spacing w:after="60"/>
              <w:jc w:val="center"/>
              <w:rPr>
                <w:sz w:val="24"/>
                <w:szCs w:val="24"/>
              </w:rPr>
            </w:pPr>
            <w:r w:rsidRPr="00824640">
              <w:rPr>
                <w:sz w:val="24"/>
                <w:lang w:bidi="en-US"/>
              </w:rPr>
              <w:t>2. Content of the Notice</w:t>
            </w:r>
          </w:p>
        </w:tc>
      </w:tr>
      <w:tr w:rsidR="00137C8F" w:rsidRPr="00824640" w14:paraId="79C16E69"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7DC34AA2" w14:textId="77777777" w:rsidR="00CC5DE5" w:rsidRPr="00824640" w:rsidRDefault="00CC5DE5" w:rsidP="001A6BAD">
            <w:pPr>
              <w:widowControl w:val="0"/>
              <w:autoSpaceDE/>
              <w:autoSpaceDN/>
              <w:ind w:left="109" w:right="110"/>
              <w:contextualSpacing/>
              <w:jc w:val="both"/>
              <w:rPr>
                <w:b/>
                <w:sz w:val="24"/>
                <w:szCs w:val="24"/>
              </w:rPr>
            </w:pPr>
            <w:r w:rsidRPr="00824640">
              <w:rPr>
                <w:sz w:val="24"/>
                <w:lang w:bidi="en-US"/>
              </w:rPr>
              <w:t>2.1. Transaction category:</w:t>
            </w:r>
            <w:r w:rsidRPr="00824640">
              <w:rPr>
                <w:b/>
                <w:sz w:val="24"/>
                <w:lang w:bidi="en-US"/>
              </w:rPr>
              <w:t xml:space="preserve"> an interested party transaction</w:t>
            </w:r>
            <w:r w:rsidRPr="00824640">
              <w:rPr>
                <w:sz w:val="24"/>
                <w:lang w:bidi="en-US"/>
              </w:rPr>
              <w:t>.</w:t>
            </w:r>
          </w:p>
          <w:p w14:paraId="48132023" w14:textId="77777777" w:rsidR="0065138C" w:rsidRPr="00824640" w:rsidRDefault="00CC5DE5" w:rsidP="0045313D">
            <w:pPr>
              <w:widowControl w:val="0"/>
              <w:autoSpaceDE/>
              <w:autoSpaceDN/>
              <w:ind w:left="109" w:right="110"/>
              <w:contextualSpacing/>
              <w:jc w:val="both"/>
              <w:rPr>
                <w:sz w:val="24"/>
                <w:szCs w:val="24"/>
              </w:rPr>
            </w:pPr>
            <w:r w:rsidRPr="00824640">
              <w:rPr>
                <w:sz w:val="24"/>
                <w:lang w:bidi="en-US"/>
              </w:rPr>
              <w:t xml:space="preserve">2.2. Kind and subject of the transaction: </w:t>
            </w:r>
          </w:p>
          <w:p w14:paraId="20C4BF26" w14:textId="77777777" w:rsidR="0065138C" w:rsidRPr="00824640" w:rsidRDefault="0065138C" w:rsidP="0045313D">
            <w:pPr>
              <w:widowControl w:val="0"/>
              <w:autoSpaceDE/>
              <w:autoSpaceDN/>
              <w:ind w:left="109" w:right="110"/>
              <w:contextualSpacing/>
              <w:jc w:val="both"/>
              <w:rPr>
                <w:b/>
                <w:sz w:val="24"/>
                <w:szCs w:val="24"/>
              </w:rPr>
            </w:pPr>
            <w:r w:rsidRPr="00824640">
              <w:rPr>
                <w:sz w:val="24"/>
                <w:lang w:bidi="en-US"/>
              </w:rPr>
              <w:t xml:space="preserve">Kind of the transaction: </w:t>
            </w:r>
            <w:r w:rsidRPr="00824640">
              <w:rPr>
                <w:b/>
                <w:sz w:val="24"/>
                <w:lang w:bidi="en-US"/>
              </w:rPr>
              <w:t xml:space="preserve">Loan Agreement. </w:t>
            </w:r>
          </w:p>
          <w:p w14:paraId="36E5E5E1" w14:textId="77777777" w:rsidR="000B3EC7" w:rsidRPr="00824640" w:rsidRDefault="0065138C" w:rsidP="0045313D">
            <w:pPr>
              <w:widowControl w:val="0"/>
              <w:autoSpaceDE/>
              <w:autoSpaceDN/>
              <w:ind w:left="109" w:right="110"/>
              <w:contextualSpacing/>
              <w:jc w:val="both"/>
              <w:rPr>
                <w:b/>
                <w:sz w:val="24"/>
                <w:szCs w:val="24"/>
              </w:rPr>
            </w:pPr>
            <w:r w:rsidRPr="00824640">
              <w:rPr>
                <w:sz w:val="24"/>
                <w:lang w:bidi="en-US"/>
              </w:rPr>
              <w:t xml:space="preserve">Subject of the transaction: </w:t>
            </w:r>
            <w:proofErr w:type="spellStart"/>
            <w:r w:rsidRPr="00824640">
              <w:rPr>
                <w:b/>
                <w:sz w:val="24"/>
                <w:lang w:bidi="en-US"/>
              </w:rPr>
              <w:t>Rosseti</w:t>
            </w:r>
            <w:proofErr w:type="spellEnd"/>
            <w:r w:rsidRPr="00824640">
              <w:rPr>
                <w:b/>
                <w:sz w:val="24"/>
                <w:lang w:bidi="en-US"/>
              </w:rPr>
              <w:t xml:space="preserve">, PJSC (the Lender) provides IDGC of North-West, PJSC (the Borrower) with a loan of funds within the Aggregate Debt Limit, and the Borrower undertakes to return the received funds to the Lender and, in addition, pay the Lender interest for the use of funds (hereinafter </w:t>
            </w:r>
            <w:r w:rsidR="00824640">
              <w:rPr>
                <w:b/>
                <w:sz w:val="24"/>
                <w:lang w:bidi="en-US"/>
              </w:rPr>
              <w:t>–</w:t>
            </w:r>
            <w:r w:rsidRPr="00824640">
              <w:rPr>
                <w:b/>
                <w:sz w:val="24"/>
                <w:lang w:bidi="en-US"/>
              </w:rPr>
              <w:t xml:space="preserve"> interest) stipulated by the Agreement.</w:t>
            </w:r>
          </w:p>
          <w:p w14:paraId="2CB0B0BF" w14:textId="77777777" w:rsidR="00EB1B43" w:rsidRPr="00824640" w:rsidRDefault="00EB1B43" w:rsidP="000C5956">
            <w:pPr>
              <w:tabs>
                <w:tab w:val="left" w:pos="993"/>
              </w:tabs>
              <w:autoSpaceDE/>
              <w:autoSpaceDN/>
              <w:ind w:left="109" w:right="114" w:firstLine="425"/>
              <w:jc w:val="both"/>
              <w:rPr>
                <w:b/>
                <w:sz w:val="24"/>
                <w:szCs w:val="24"/>
                <w:lang w:eastAsia="zh-CN"/>
              </w:rPr>
            </w:pPr>
            <w:r w:rsidRPr="00824640">
              <w:rPr>
                <w:b/>
                <w:sz w:val="24"/>
                <w:lang w:bidi="en-US"/>
              </w:rPr>
              <w:t>The loan is provided for the purpose of replenishing current assets, financing investment activities, refinancing the debt portfolio of the Borrower, as well as other purposes as agreed with the Lender.</w:t>
            </w:r>
          </w:p>
          <w:p w14:paraId="11795838" w14:textId="77777777" w:rsidR="00EB1B43" w:rsidRPr="00824640" w:rsidRDefault="00EB1B43" w:rsidP="000C5956">
            <w:pPr>
              <w:tabs>
                <w:tab w:val="left" w:pos="993"/>
              </w:tabs>
              <w:autoSpaceDE/>
              <w:autoSpaceDN/>
              <w:ind w:left="109" w:firstLine="425"/>
              <w:jc w:val="both"/>
              <w:rPr>
                <w:b/>
                <w:sz w:val="24"/>
                <w:szCs w:val="24"/>
                <w:lang w:eastAsia="zh-CN"/>
              </w:rPr>
            </w:pPr>
            <w:r w:rsidRPr="00824640">
              <w:rPr>
                <w:b/>
                <w:sz w:val="24"/>
                <w:lang w:bidi="en-US"/>
              </w:rPr>
              <w:t>The total debt limit under the Agreement is 3,800,000,000 (three billion eight hundred million) rubles 00 kopecks.</w:t>
            </w:r>
          </w:p>
          <w:p w14:paraId="773A2519" w14:textId="77777777" w:rsidR="006E3830" w:rsidRPr="00824640" w:rsidRDefault="00CC5DE5" w:rsidP="008A6196">
            <w:pPr>
              <w:widowControl w:val="0"/>
              <w:autoSpaceDE/>
              <w:autoSpaceDN/>
              <w:ind w:left="109" w:right="110"/>
              <w:contextualSpacing/>
              <w:jc w:val="both"/>
              <w:rPr>
                <w:rFonts w:ascii="Arial" w:hAnsi="Arial" w:cs="Arial"/>
                <w:sz w:val="18"/>
                <w:szCs w:val="18"/>
              </w:rPr>
            </w:pPr>
            <w:r w:rsidRPr="00824640">
              <w:rPr>
                <w:sz w:val="24"/>
                <w:lang w:bidi="en-US"/>
              </w:rPr>
              <w:t>2.3. The content of the transaction, including civil rights and obligations, the establishment, change or termination of which the completed transaction is aimed at:</w:t>
            </w:r>
            <w:r w:rsidR="008A6196" w:rsidRPr="00824640">
              <w:rPr>
                <w:sz w:val="18"/>
                <w:lang w:bidi="en-US"/>
              </w:rPr>
              <w:t xml:space="preserve"> </w:t>
            </w:r>
          </w:p>
          <w:p w14:paraId="0CAE183C" w14:textId="77777777" w:rsidR="00D65F80" w:rsidRPr="00824640" w:rsidRDefault="00D65F80" w:rsidP="00FD4E92">
            <w:pPr>
              <w:widowControl w:val="0"/>
              <w:autoSpaceDE/>
              <w:autoSpaceDN/>
              <w:ind w:left="109" w:right="110" w:firstLine="425"/>
              <w:contextualSpacing/>
              <w:jc w:val="both"/>
              <w:rPr>
                <w:b/>
                <w:sz w:val="24"/>
                <w:szCs w:val="24"/>
              </w:rPr>
            </w:pPr>
            <w:r w:rsidRPr="00824640">
              <w:rPr>
                <w:b/>
                <w:sz w:val="24"/>
                <w:lang w:bidi="en-US"/>
              </w:rPr>
              <w:t>The Lender provides the Borrower with a loan of funds within the Aggregate Debt Limit, and the Borrower undertakes to return the received funds to the Lender and, in addition, pay the Lender interest for the use of funds stipulated by the Agreement.</w:t>
            </w:r>
          </w:p>
          <w:p w14:paraId="0DE47BDC" w14:textId="77777777" w:rsidR="00FD4E92" w:rsidRPr="00824640" w:rsidRDefault="00FD4E92" w:rsidP="00FD4E92">
            <w:pPr>
              <w:widowControl w:val="0"/>
              <w:autoSpaceDE/>
              <w:autoSpaceDN/>
              <w:ind w:left="109" w:right="110" w:firstLine="425"/>
              <w:contextualSpacing/>
              <w:jc w:val="both"/>
              <w:rPr>
                <w:b/>
                <w:sz w:val="24"/>
                <w:szCs w:val="24"/>
              </w:rPr>
            </w:pPr>
            <w:r w:rsidRPr="00824640">
              <w:rPr>
                <w:b/>
                <w:sz w:val="24"/>
                <w:lang w:bidi="en-US"/>
              </w:rPr>
              <w:t>Allowable use:</w:t>
            </w:r>
          </w:p>
          <w:p w14:paraId="11705408" w14:textId="77777777" w:rsidR="00D65F80" w:rsidRPr="00824640" w:rsidRDefault="00D65F80" w:rsidP="00FD4E92">
            <w:pPr>
              <w:widowControl w:val="0"/>
              <w:autoSpaceDE/>
              <w:autoSpaceDN/>
              <w:ind w:left="109" w:right="110" w:firstLine="425"/>
              <w:contextualSpacing/>
              <w:jc w:val="both"/>
              <w:rPr>
                <w:b/>
                <w:i/>
                <w:sz w:val="24"/>
                <w:szCs w:val="24"/>
              </w:rPr>
            </w:pPr>
            <w:r w:rsidRPr="00824640">
              <w:rPr>
                <w:b/>
                <w:sz w:val="24"/>
                <w:lang w:bidi="en-US"/>
              </w:rPr>
              <w:t>The loan is provided for the purpose of replenishing current assets, financing investment activities, refinancing the debt portfolio of the Borrower, as well as other purposes as agreed with the Lender.</w:t>
            </w:r>
          </w:p>
          <w:p w14:paraId="1D5477B9" w14:textId="77777777" w:rsidR="00F22F5B" w:rsidRPr="00824640" w:rsidRDefault="00F22F5B" w:rsidP="0065138C">
            <w:pPr>
              <w:widowControl w:val="0"/>
              <w:autoSpaceDE/>
              <w:autoSpaceDN/>
              <w:ind w:left="109" w:right="110" w:firstLine="425"/>
              <w:contextualSpacing/>
              <w:jc w:val="both"/>
              <w:rPr>
                <w:b/>
                <w:sz w:val="24"/>
                <w:szCs w:val="24"/>
              </w:rPr>
            </w:pPr>
            <w:r w:rsidRPr="00824640">
              <w:rPr>
                <w:b/>
                <w:sz w:val="24"/>
                <w:lang w:bidi="en-US"/>
              </w:rPr>
              <w:t>Procedure for the Loan provision and return:</w:t>
            </w:r>
          </w:p>
          <w:p w14:paraId="4C81AC41" w14:textId="77777777" w:rsidR="00C07356" w:rsidRPr="00824640" w:rsidRDefault="00C07356" w:rsidP="00C07356">
            <w:pPr>
              <w:widowControl w:val="0"/>
              <w:autoSpaceDE/>
              <w:autoSpaceDN/>
              <w:ind w:left="109" w:right="110" w:firstLine="425"/>
              <w:contextualSpacing/>
              <w:jc w:val="both"/>
              <w:rPr>
                <w:b/>
                <w:sz w:val="24"/>
                <w:szCs w:val="24"/>
              </w:rPr>
            </w:pPr>
            <w:r w:rsidRPr="00824640">
              <w:rPr>
                <w:b/>
                <w:sz w:val="24"/>
                <w:lang w:bidi="en-US"/>
              </w:rPr>
              <w:t>Funds are provided by one or several Tranches, without limitation on the number of tranches. The total amount of debt under the Tranches (excluding the debt on accrued interest) under the Agreement may not exceed the Aggregate debt limit.</w:t>
            </w:r>
          </w:p>
          <w:p w14:paraId="25BA0E5C" w14:textId="77777777" w:rsidR="00C07356" w:rsidRPr="00824640" w:rsidRDefault="00C07356" w:rsidP="00C07356">
            <w:pPr>
              <w:widowControl w:val="0"/>
              <w:autoSpaceDE/>
              <w:autoSpaceDN/>
              <w:ind w:left="109" w:right="110" w:firstLine="425"/>
              <w:contextualSpacing/>
              <w:jc w:val="both"/>
              <w:rPr>
                <w:b/>
                <w:sz w:val="24"/>
                <w:szCs w:val="24"/>
              </w:rPr>
            </w:pPr>
            <w:r w:rsidRPr="00824640">
              <w:rPr>
                <w:b/>
                <w:sz w:val="24"/>
                <w:lang w:bidi="en-US"/>
              </w:rPr>
              <w:t>The final maturity date for the debt under the Agreement and for each of the Tranches is no later than 5 years from the date of the Agreement.</w:t>
            </w:r>
          </w:p>
          <w:p w14:paraId="6DC5A39B" w14:textId="77777777" w:rsidR="00C07356" w:rsidRPr="00824640" w:rsidRDefault="00C07356" w:rsidP="00C07356">
            <w:pPr>
              <w:widowControl w:val="0"/>
              <w:autoSpaceDE/>
              <w:autoSpaceDN/>
              <w:ind w:left="109" w:right="110" w:firstLine="425"/>
              <w:contextualSpacing/>
              <w:jc w:val="both"/>
              <w:rPr>
                <w:b/>
                <w:sz w:val="24"/>
                <w:szCs w:val="24"/>
              </w:rPr>
            </w:pPr>
            <w:r w:rsidRPr="00824640">
              <w:rPr>
                <w:b/>
                <w:sz w:val="24"/>
                <w:lang w:bidi="en-US"/>
              </w:rPr>
              <w:t>The term of each Tranche under the Agreement is determined at the time of granting the Tranche on the basis of the Application of the Borrower agreed with the Lender, but may not exceed the term of the Agreement.</w:t>
            </w:r>
          </w:p>
          <w:p w14:paraId="52225663" w14:textId="77777777" w:rsidR="000B3EC7" w:rsidRPr="00824640" w:rsidRDefault="000B3EC7" w:rsidP="000B3EC7">
            <w:pPr>
              <w:widowControl w:val="0"/>
              <w:autoSpaceDE/>
              <w:autoSpaceDN/>
              <w:ind w:left="109" w:right="110" w:firstLine="425"/>
              <w:contextualSpacing/>
              <w:jc w:val="both"/>
              <w:rPr>
                <w:b/>
                <w:sz w:val="24"/>
                <w:szCs w:val="24"/>
              </w:rPr>
            </w:pPr>
            <w:r w:rsidRPr="00824640">
              <w:rPr>
                <w:b/>
                <w:sz w:val="24"/>
                <w:lang w:bidi="en-US"/>
              </w:rPr>
              <w:t>The Borrower has the right, upon agreement with the Lender, to early repay the debt on all or some of the existing Tranches and interest on the use of borrowed funds, subject to the terms of early repayment of the debt specified in the Agreement.</w:t>
            </w:r>
          </w:p>
          <w:p w14:paraId="0A58EF28" w14:textId="77777777" w:rsidR="0063414B" w:rsidRPr="00824640" w:rsidRDefault="0063414B" w:rsidP="003805AA">
            <w:pPr>
              <w:widowControl w:val="0"/>
              <w:autoSpaceDE/>
              <w:autoSpaceDN/>
              <w:ind w:left="109" w:right="110" w:firstLine="425"/>
              <w:contextualSpacing/>
              <w:jc w:val="both"/>
              <w:rPr>
                <w:b/>
                <w:sz w:val="24"/>
                <w:szCs w:val="24"/>
              </w:rPr>
            </w:pPr>
            <w:r w:rsidRPr="00824640">
              <w:rPr>
                <w:b/>
                <w:sz w:val="24"/>
                <w:lang w:bidi="en-US"/>
              </w:rPr>
              <w:lastRenderedPageBreak/>
              <w:t>Kind of the loan: loan at interest.</w:t>
            </w:r>
          </w:p>
          <w:p w14:paraId="10DB872F" w14:textId="77777777" w:rsidR="00FD4E92" w:rsidRPr="00824640" w:rsidRDefault="00FD4E92" w:rsidP="00F44446">
            <w:pPr>
              <w:widowControl w:val="0"/>
              <w:autoSpaceDE/>
              <w:autoSpaceDN/>
              <w:ind w:left="109" w:right="110" w:firstLine="425"/>
              <w:contextualSpacing/>
              <w:jc w:val="both"/>
              <w:rPr>
                <w:b/>
                <w:sz w:val="24"/>
                <w:szCs w:val="24"/>
              </w:rPr>
            </w:pPr>
            <w:r w:rsidRPr="00824640">
              <w:rPr>
                <w:b/>
                <w:sz w:val="24"/>
                <w:lang w:bidi="en-US"/>
              </w:rPr>
              <w:t>Interest rate:</w:t>
            </w:r>
          </w:p>
          <w:p w14:paraId="50DDCBA6" w14:textId="77777777" w:rsidR="00FD4E92" w:rsidRPr="00824640" w:rsidRDefault="00FD4E92" w:rsidP="00F44446">
            <w:pPr>
              <w:widowControl w:val="0"/>
              <w:autoSpaceDE/>
              <w:autoSpaceDN/>
              <w:ind w:left="109" w:right="110" w:firstLine="425"/>
              <w:contextualSpacing/>
              <w:jc w:val="both"/>
              <w:rPr>
                <w:b/>
                <w:sz w:val="24"/>
                <w:szCs w:val="24"/>
              </w:rPr>
            </w:pPr>
            <w:r w:rsidRPr="00824640">
              <w:rPr>
                <w:b/>
                <w:sz w:val="24"/>
                <w:lang w:bidi="en-US"/>
              </w:rPr>
              <w:t>From the moment the Borrower receives funds from the Lender until the Borrower fulfills its obligations under the Agreement, interest is charged on the amount of the issued Tranches. The interest rate is set at the time of the provision of the Tranche on the basis of the Application of the Borrower, agreed with the Lender, in the amount determined taking into account the simultaneous observance of the following conditions:</w:t>
            </w:r>
          </w:p>
          <w:p w14:paraId="67DA7445" w14:textId="77777777" w:rsidR="00FD4E92" w:rsidRPr="00824640" w:rsidRDefault="00FD4E92" w:rsidP="00F44446">
            <w:pPr>
              <w:widowControl w:val="0"/>
              <w:autoSpaceDE/>
              <w:autoSpaceDN/>
              <w:ind w:left="109" w:right="110" w:firstLine="425"/>
              <w:contextualSpacing/>
              <w:jc w:val="both"/>
              <w:rPr>
                <w:b/>
                <w:sz w:val="24"/>
                <w:szCs w:val="24"/>
              </w:rPr>
            </w:pPr>
            <w:r w:rsidRPr="00824640">
              <w:rPr>
                <w:b/>
                <w:sz w:val="24"/>
                <w:lang w:bidi="en-US"/>
              </w:rPr>
              <w:t>- The interest rate cannot be more than the Key rate of the Bank of Russia + 3% per annum.</w:t>
            </w:r>
          </w:p>
          <w:p w14:paraId="42AB7A85" w14:textId="77777777" w:rsidR="00FD4E92" w:rsidRPr="00824640" w:rsidRDefault="00FD4E92" w:rsidP="00F44446">
            <w:pPr>
              <w:widowControl w:val="0"/>
              <w:autoSpaceDE/>
              <w:autoSpaceDN/>
              <w:ind w:left="109" w:right="110" w:firstLine="425"/>
              <w:contextualSpacing/>
              <w:jc w:val="both"/>
              <w:rPr>
                <w:b/>
                <w:sz w:val="24"/>
                <w:szCs w:val="24"/>
              </w:rPr>
            </w:pPr>
            <w:r w:rsidRPr="00824640">
              <w:rPr>
                <w:b/>
                <w:sz w:val="24"/>
                <w:lang w:bidi="en-US"/>
              </w:rPr>
              <w:t>- The interest rate cannot be less than the interest rate available to the Lender for placing funds for a comparable period in deposit accounts with credit institutions.</w:t>
            </w:r>
          </w:p>
          <w:p w14:paraId="47881908" w14:textId="77777777" w:rsidR="0052046E" w:rsidRPr="00824640" w:rsidRDefault="0052046E" w:rsidP="0052046E">
            <w:pPr>
              <w:widowControl w:val="0"/>
              <w:autoSpaceDE/>
              <w:autoSpaceDN/>
              <w:ind w:left="109" w:right="110" w:firstLine="425"/>
              <w:contextualSpacing/>
              <w:jc w:val="both"/>
              <w:rPr>
                <w:b/>
                <w:sz w:val="24"/>
                <w:szCs w:val="24"/>
              </w:rPr>
            </w:pPr>
            <w:r w:rsidRPr="00824640">
              <w:rPr>
                <w:b/>
                <w:sz w:val="24"/>
                <w:lang w:bidi="en-US"/>
              </w:rPr>
              <w:t>Interest payment procedure:</w:t>
            </w:r>
          </w:p>
          <w:p w14:paraId="4B352425" w14:textId="77777777" w:rsidR="0052046E" w:rsidRPr="00824640" w:rsidRDefault="0052046E" w:rsidP="0052046E">
            <w:pPr>
              <w:widowControl w:val="0"/>
              <w:autoSpaceDE/>
              <w:autoSpaceDN/>
              <w:ind w:left="109" w:right="110" w:firstLine="425"/>
              <w:contextualSpacing/>
              <w:jc w:val="both"/>
              <w:rPr>
                <w:b/>
                <w:sz w:val="24"/>
                <w:szCs w:val="24"/>
              </w:rPr>
            </w:pPr>
            <w:r w:rsidRPr="00824640">
              <w:rPr>
                <w:b/>
                <w:sz w:val="24"/>
                <w:lang w:bidi="en-US"/>
              </w:rPr>
              <w:t>The procedure for paying interest is determined in the Borrower's Application.</w:t>
            </w:r>
          </w:p>
          <w:p w14:paraId="50B869EB" w14:textId="77777777" w:rsidR="008C5CE6" w:rsidRPr="00824640" w:rsidRDefault="00FD4E92" w:rsidP="00F44446">
            <w:pPr>
              <w:widowControl w:val="0"/>
              <w:autoSpaceDE/>
              <w:autoSpaceDN/>
              <w:ind w:left="109" w:right="110" w:firstLine="425"/>
              <w:contextualSpacing/>
              <w:jc w:val="both"/>
              <w:rPr>
                <w:b/>
                <w:sz w:val="24"/>
                <w:szCs w:val="24"/>
              </w:rPr>
            </w:pPr>
            <w:r w:rsidRPr="00824640">
              <w:rPr>
                <w:b/>
                <w:sz w:val="24"/>
                <w:lang w:bidi="en-US"/>
              </w:rPr>
              <w:t>Price of the Contract:</w:t>
            </w:r>
          </w:p>
          <w:p w14:paraId="4DC44B57" w14:textId="77777777" w:rsidR="00BF3A8D" w:rsidRPr="00824640" w:rsidRDefault="00BF3A8D" w:rsidP="00BF3A8D">
            <w:pPr>
              <w:widowControl w:val="0"/>
              <w:autoSpaceDE/>
              <w:autoSpaceDN/>
              <w:ind w:left="109" w:right="110" w:firstLine="425"/>
              <w:contextualSpacing/>
              <w:jc w:val="both"/>
              <w:rPr>
                <w:b/>
                <w:sz w:val="24"/>
                <w:szCs w:val="24"/>
              </w:rPr>
            </w:pPr>
            <w:r w:rsidRPr="00824640">
              <w:rPr>
                <w:b/>
                <w:sz w:val="24"/>
                <w:lang w:bidi="en-US"/>
              </w:rPr>
              <w:t>The price of the Agreement consists of the amount of funds provided to the Borrower by the Lender for a loan within the Aggregate Limit of Debt in an amount not exceeding 3,800,000,000 (three billion eight hundred million) rubles 00 kopecks and the amount of interest accrued at an interest rate.</w:t>
            </w:r>
          </w:p>
          <w:p w14:paraId="7E8B22D1" w14:textId="77777777" w:rsidR="00BF3A8D" w:rsidRPr="00824640" w:rsidRDefault="00BF3A8D" w:rsidP="00BF3A8D">
            <w:pPr>
              <w:widowControl w:val="0"/>
              <w:autoSpaceDE/>
              <w:autoSpaceDN/>
              <w:ind w:left="109" w:right="110" w:firstLine="425"/>
              <w:contextualSpacing/>
              <w:jc w:val="both"/>
              <w:rPr>
                <w:b/>
                <w:sz w:val="24"/>
                <w:szCs w:val="24"/>
              </w:rPr>
            </w:pPr>
            <w:r w:rsidRPr="00824640">
              <w:rPr>
                <w:b/>
                <w:sz w:val="24"/>
                <w:lang w:bidi="en-US"/>
              </w:rPr>
              <w:t>The Agreement price shall not be equal to or in excess of 10 per cent of the book value of assets of IDGC of North-West, PJSC according to their accounting statements as of the most recent reporting date.</w:t>
            </w:r>
          </w:p>
          <w:p w14:paraId="3AC3A071" w14:textId="77777777" w:rsidR="006E3830" w:rsidRPr="00824640" w:rsidRDefault="006E3830" w:rsidP="008A6196">
            <w:pPr>
              <w:widowControl w:val="0"/>
              <w:autoSpaceDE/>
              <w:autoSpaceDN/>
              <w:ind w:left="109" w:right="110"/>
              <w:contextualSpacing/>
              <w:jc w:val="both"/>
              <w:rPr>
                <w:rFonts w:ascii="Arial" w:hAnsi="Arial" w:cs="Arial"/>
                <w:sz w:val="18"/>
                <w:szCs w:val="18"/>
              </w:rPr>
            </w:pPr>
          </w:p>
          <w:p w14:paraId="7DEED3E8" w14:textId="77777777" w:rsidR="00CC5DE5" w:rsidRPr="00824640" w:rsidRDefault="006A4609" w:rsidP="001A6BAD">
            <w:pPr>
              <w:widowControl w:val="0"/>
              <w:autoSpaceDE/>
              <w:autoSpaceDN/>
              <w:ind w:left="109" w:right="110"/>
              <w:contextualSpacing/>
              <w:jc w:val="both"/>
              <w:rPr>
                <w:sz w:val="24"/>
                <w:szCs w:val="24"/>
              </w:rPr>
            </w:pPr>
            <w:r w:rsidRPr="00824640">
              <w:rPr>
                <w:sz w:val="24"/>
                <w:lang w:bidi="en-US"/>
              </w:rPr>
              <w:t>2.4. Deadline for fulfilling obligations under the transaction, parties and beneficiaries under the transaction, size of the transaction in monetary terms and as a percentage of the value of the issuer's assets:</w:t>
            </w:r>
          </w:p>
          <w:p w14:paraId="4E4468B6" w14:textId="77777777" w:rsidR="006E504D" w:rsidRPr="00824640" w:rsidRDefault="00D32533" w:rsidP="002C1D83">
            <w:pPr>
              <w:widowControl w:val="0"/>
              <w:autoSpaceDE/>
              <w:autoSpaceDN/>
              <w:ind w:left="109" w:right="110" w:firstLine="425"/>
              <w:contextualSpacing/>
              <w:jc w:val="both"/>
              <w:rPr>
                <w:b/>
                <w:sz w:val="24"/>
                <w:szCs w:val="24"/>
              </w:rPr>
            </w:pPr>
            <w:r w:rsidRPr="00824640">
              <w:rPr>
                <w:b/>
                <w:sz w:val="24"/>
                <w:lang w:bidi="en-US"/>
              </w:rPr>
              <w:t>The term for the fulfillment of obligations under the transaction: no later than 5 years from the date of the conclusion of the Agreement.</w:t>
            </w:r>
          </w:p>
          <w:p w14:paraId="3171EAA8" w14:textId="77777777" w:rsidR="006E504D" w:rsidRPr="00824640" w:rsidRDefault="006E504D" w:rsidP="002C1D83">
            <w:pPr>
              <w:widowControl w:val="0"/>
              <w:autoSpaceDE/>
              <w:autoSpaceDN/>
              <w:ind w:left="109" w:right="110" w:firstLine="425"/>
              <w:contextualSpacing/>
              <w:jc w:val="both"/>
              <w:rPr>
                <w:b/>
                <w:sz w:val="24"/>
                <w:szCs w:val="24"/>
              </w:rPr>
            </w:pPr>
            <w:r w:rsidRPr="00824640">
              <w:rPr>
                <w:b/>
                <w:sz w:val="24"/>
                <w:lang w:bidi="en-US"/>
              </w:rPr>
              <w:t xml:space="preserve">Parties and beneficiaries to the transaction: IDGC of North-West, PJSC (the Borrower); </w:t>
            </w:r>
            <w:proofErr w:type="spellStart"/>
            <w:r w:rsidRPr="00824640">
              <w:rPr>
                <w:b/>
                <w:sz w:val="24"/>
                <w:lang w:bidi="en-US"/>
              </w:rPr>
              <w:t>Rosseti</w:t>
            </w:r>
            <w:proofErr w:type="spellEnd"/>
            <w:r w:rsidRPr="00824640">
              <w:rPr>
                <w:b/>
                <w:sz w:val="24"/>
                <w:lang w:bidi="en-US"/>
              </w:rPr>
              <w:t>, PJSC (the Lender).</w:t>
            </w:r>
          </w:p>
          <w:p w14:paraId="7A43EF04" w14:textId="77777777" w:rsidR="00BF6F27" w:rsidRPr="00824640" w:rsidRDefault="00BF6F27" w:rsidP="002C1D83">
            <w:pPr>
              <w:widowControl w:val="0"/>
              <w:autoSpaceDE/>
              <w:autoSpaceDN/>
              <w:ind w:left="109" w:right="110" w:firstLine="425"/>
              <w:contextualSpacing/>
              <w:jc w:val="both"/>
              <w:rPr>
                <w:b/>
                <w:sz w:val="24"/>
                <w:szCs w:val="24"/>
              </w:rPr>
            </w:pPr>
            <w:r w:rsidRPr="00824640">
              <w:rPr>
                <w:b/>
                <w:sz w:val="24"/>
                <w:lang w:bidi="en-US"/>
              </w:rPr>
              <w:t>The size of the transaction, including interest, calculated at the current Key Rate of the Bank of Russia, for the entire period of its validity will not exceed 5,177,500,000 rubles.</w:t>
            </w:r>
          </w:p>
          <w:p w14:paraId="1B35714E" w14:textId="77777777" w:rsidR="006E504D" w:rsidRPr="00824640" w:rsidRDefault="00D32533" w:rsidP="002C1D83">
            <w:pPr>
              <w:widowControl w:val="0"/>
              <w:autoSpaceDE/>
              <w:autoSpaceDN/>
              <w:ind w:left="109" w:right="110" w:firstLine="425"/>
              <w:contextualSpacing/>
              <w:jc w:val="both"/>
              <w:rPr>
                <w:b/>
                <w:sz w:val="24"/>
                <w:szCs w:val="24"/>
              </w:rPr>
            </w:pPr>
            <w:r w:rsidRPr="00824640">
              <w:rPr>
                <w:b/>
                <w:sz w:val="24"/>
                <w:lang w:bidi="en-US"/>
              </w:rPr>
              <w:t>The size of the transaction as a percentage of the value of the Issuer's assets: the ratio of the transaction price to the book value of the assets of IDGC of North-West, PJSC as of September 30, 2020: 9.4%.</w:t>
            </w:r>
          </w:p>
          <w:p w14:paraId="6C4872C2" w14:textId="77777777" w:rsidR="006D3EF6" w:rsidRPr="00824640" w:rsidRDefault="001C5359" w:rsidP="006D3EF6">
            <w:pPr>
              <w:widowControl w:val="0"/>
              <w:autoSpaceDE/>
              <w:autoSpaceDN/>
              <w:ind w:left="109" w:right="110"/>
              <w:contextualSpacing/>
              <w:jc w:val="both"/>
              <w:rPr>
                <w:b/>
                <w:sz w:val="24"/>
                <w:szCs w:val="24"/>
              </w:rPr>
            </w:pPr>
            <w:r w:rsidRPr="00824640">
              <w:rPr>
                <w:sz w:val="24"/>
                <w:lang w:bidi="en-US"/>
              </w:rPr>
              <w:t xml:space="preserve">2.5. The value of the Issuer's assets as of the end date of the last completed reporting period preceding the transaction (conclusion of the Agreement): </w:t>
            </w:r>
            <w:r w:rsidRPr="00824640">
              <w:rPr>
                <w:b/>
                <w:sz w:val="24"/>
                <w:lang w:bidi="en-US"/>
              </w:rPr>
              <w:t>54,871,479,296 rubles is the book value of the assets of IDGC of North-West, PJSC as of September 30, 2020.</w:t>
            </w:r>
          </w:p>
          <w:p w14:paraId="326769DF" w14:textId="77777777" w:rsidR="00B34485" w:rsidRPr="00824640" w:rsidRDefault="00B34485" w:rsidP="001A6BAD">
            <w:pPr>
              <w:widowControl w:val="0"/>
              <w:autoSpaceDE/>
              <w:autoSpaceDN/>
              <w:ind w:left="109" w:right="110"/>
              <w:contextualSpacing/>
              <w:jc w:val="both"/>
              <w:rPr>
                <w:b/>
                <w:sz w:val="24"/>
                <w:szCs w:val="24"/>
              </w:rPr>
            </w:pPr>
            <w:r w:rsidRPr="00824640">
              <w:rPr>
                <w:sz w:val="24"/>
                <w:lang w:bidi="en-US"/>
              </w:rPr>
              <w:t xml:space="preserve">2.6. Date of the transaction (conclusion of the agreement): </w:t>
            </w:r>
            <w:r w:rsidRPr="00824640">
              <w:rPr>
                <w:b/>
                <w:sz w:val="24"/>
                <w:lang w:bidi="en-US"/>
              </w:rPr>
              <w:t>November 03, 2020.</w:t>
            </w:r>
          </w:p>
          <w:p w14:paraId="44557158" w14:textId="77777777" w:rsidR="00B34485" w:rsidRPr="00824640" w:rsidRDefault="004F44A3" w:rsidP="001A6BAD">
            <w:pPr>
              <w:widowControl w:val="0"/>
              <w:autoSpaceDE/>
              <w:autoSpaceDN/>
              <w:ind w:left="109" w:right="110"/>
              <w:contextualSpacing/>
              <w:jc w:val="both"/>
              <w:rPr>
                <w:sz w:val="24"/>
                <w:szCs w:val="24"/>
              </w:rPr>
            </w:pPr>
            <w:r w:rsidRPr="00824640">
              <w:rPr>
                <w:sz w:val="24"/>
                <w:lang w:bidi="en-US"/>
              </w:rPr>
              <w:t xml:space="preserve">2.7. Full and abbreviated company names (for a non-commercial organization </w:t>
            </w:r>
            <w:r w:rsidR="00824640">
              <w:rPr>
                <w:sz w:val="24"/>
                <w:lang w:bidi="en-US"/>
              </w:rPr>
              <w:t>–</w:t>
            </w:r>
            <w:r w:rsidRPr="00824640">
              <w:rPr>
                <w:sz w:val="24"/>
                <w:lang w:bidi="en-US"/>
              </w:rPr>
              <w:t xml:space="preserve"> name), location of a legal entity or surname, name, patronymic (if any) of an individual recognized in accordance with the legislation of the Russian Federation as a person interested in the issuer of a transaction, the ground (grounds), according to which such a person is recognized as interested in the transaction, the stake of the interested person in the authorized (pooled) capital (the share of shares owned by the interested person) of the issuer and the legal entity that is a party to the transaction:</w:t>
            </w:r>
          </w:p>
          <w:p w14:paraId="1CEA14F0" w14:textId="77777777" w:rsidR="001B2E59" w:rsidRPr="00824640" w:rsidRDefault="00BF4AA3" w:rsidP="002C1D83">
            <w:pPr>
              <w:widowControl w:val="0"/>
              <w:autoSpaceDE/>
              <w:autoSpaceDN/>
              <w:ind w:left="109" w:right="110" w:firstLine="425"/>
              <w:contextualSpacing/>
              <w:jc w:val="both"/>
              <w:rPr>
                <w:b/>
                <w:sz w:val="24"/>
                <w:szCs w:val="24"/>
              </w:rPr>
            </w:pPr>
            <w:r w:rsidRPr="00824640">
              <w:rPr>
                <w:b/>
                <w:sz w:val="24"/>
                <w:lang w:bidi="en-US"/>
              </w:rPr>
              <w:t>Full and abbreviated corporate names of a legal entity</w:t>
            </w:r>
            <w:r w:rsidRPr="00824640">
              <w:rPr>
                <w:lang w:bidi="en-US"/>
              </w:rPr>
              <w:t xml:space="preserve"> </w:t>
            </w:r>
            <w:r w:rsidRPr="00824640">
              <w:rPr>
                <w:b/>
                <w:sz w:val="24"/>
                <w:lang w:bidi="en-US"/>
              </w:rPr>
              <w:t xml:space="preserve">recognized in accordance with the legislation of the Russian Federation as a person interested in the issuer of a transaction: </w:t>
            </w:r>
            <w:proofErr w:type="spellStart"/>
            <w:r w:rsidRPr="00824640">
              <w:rPr>
                <w:b/>
                <w:sz w:val="24"/>
                <w:lang w:bidi="en-US"/>
              </w:rPr>
              <w:t>Rosseti</w:t>
            </w:r>
            <w:proofErr w:type="spellEnd"/>
            <w:r w:rsidR="00824640">
              <w:rPr>
                <w:b/>
                <w:sz w:val="24"/>
                <w:lang w:bidi="en-US"/>
              </w:rPr>
              <w:t>,</w:t>
            </w:r>
            <w:r w:rsidRPr="00824640">
              <w:rPr>
                <w:b/>
                <w:sz w:val="24"/>
                <w:lang w:bidi="en-US"/>
              </w:rPr>
              <w:t xml:space="preserve"> Public Joint Stock Company (</w:t>
            </w:r>
            <w:proofErr w:type="spellStart"/>
            <w:r w:rsidRPr="00824640">
              <w:rPr>
                <w:b/>
                <w:sz w:val="24"/>
                <w:lang w:bidi="en-US"/>
              </w:rPr>
              <w:t>Rosseti</w:t>
            </w:r>
            <w:proofErr w:type="spellEnd"/>
            <w:r w:rsidRPr="00824640">
              <w:rPr>
                <w:b/>
                <w:sz w:val="24"/>
                <w:lang w:bidi="en-US"/>
              </w:rPr>
              <w:t>, PJSC);</w:t>
            </w:r>
          </w:p>
          <w:p w14:paraId="5B31F81A" w14:textId="77777777" w:rsidR="001B2E59" w:rsidRPr="00824640" w:rsidRDefault="001B2E59" w:rsidP="002C1D83">
            <w:pPr>
              <w:widowControl w:val="0"/>
              <w:autoSpaceDE/>
              <w:autoSpaceDN/>
              <w:ind w:left="109" w:right="110" w:firstLine="425"/>
              <w:contextualSpacing/>
              <w:jc w:val="both"/>
              <w:rPr>
                <w:b/>
                <w:sz w:val="24"/>
                <w:szCs w:val="24"/>
              </w:rPr>
            </w:pPr>
            <w:r w:rsidRPr="00824640">
              <w:rPr>
                <w:b/>
                <w:sz w:val="24"/>
                <w:lang w:bidi="en-US"/>
              </w:rPr>
              <w:t>- location of legal entity: Russia, Moscow;</w:t>
            </w:r>
          </w:p>
          <w:p w14:paraId="2707F123" w14:textId="77777777" w:rsidR="00FC02F2" w:rsidRPr="00824640" w:rsidRDefault="00FC02F2" w:rsidP="002C1D83">
            <w:pPr>
              <w:widowControl w:val="0"/>
              <w:autoSpaceDE/>
              <w:autoSpaceDN/>
              <w:ind w:left="109" w:right="110" w:firstLine="425"/>
              <w:contextualSpacing/>
              <w:jc w:val="both"/>
              <w:rPr>
                <w:b/>
                <w:sz w:val="24"/>
                <w:szCs w:val="24"/>
              </w:rPr>
            </w:pPr>
            <w:r w:rsidRPr="00824640">
              <w:rPr>
                <w:b/>
                <w:sz w:val="24"/>
                <w:lang w:bidi="en-US"/>
              </w:rPr>
              <w:t>- the ground (grounds) on which such a person is recognized as interested in the transaction: the controlling person of IDGC of North-West, PJSC,</w:t>
            </w:r>
            <w:r w:rsidRPr="00824640">
              <w:rPr>
                <w:lang w:bidi="en-US"/>
              </w:rPr>
              <w:t xml:space="preserve"> </w:t>
            </w:r>
            <w:r w:rsidRPr="00824640">
              <w:rPr>
                <w:b/>
                <w:sz w:val="24"/>
                <w:lang w:bidi="en-US"/>
              </w:rPr>
              <w:t>who is simultaneo</w:t>
            </w:r>
            <w:r w:rsidR="00824640">
              <w:rPr>
                <w:b/>
                <w:sz w:val="24"/>
                <w:lang w:bidi="en-US"/>
              </w:rPr>
              <w:t>usly a party to the transaction;</w:t>
            </w:r>
          </w:p>
          <w:p w14:paraId="76BA9092" w14:textId="77777777" w:rsidR="00EF624C" w:rsidRPr="00824640" w:rsidRDefault="00EF624C" w:rsidP="00EF624C">
            <w:pPr>
              <w:adjustRightInd w:val="0"/>
              <w:ind w:right="114" w:firstLine="534"/>
              <w:jc w:val="both"/>
              <w:rPr>
                <w:b/>
                <w:sz w:val="24"/>
                <w:szCs w:val="24"/>
              </w:rPr>
            </w:pPr>
            <w:r w:rsidRPr="00824640">
              <w:rPr>
                <w:b/>
                <w:sz w:val="24"/>
                <w:lang w:bidi="en-US"/>
              </w:rPr>
              <w:t>- the stake of the stakeholder in the authorized (pooled) capital (stake owned by the stak</w:t>
            </w:r>
            <w:r w:rsidR="00824640">
              <w:rPr>
                <w:b/>
                <w:sz w:val="24"/>
                <w:lang w:bidi="en-US"/>
              </w:rPr>
              <w:t>eholder) of the issuer: 55.38%;</w:t>
            </w:r>
            <w:r w:rsidRPr="00824640">
              <w:rPr>
                <w:b/>
                <w:sz w:val="24"/>
                <w:lang w:bidi="en-US"/>
              </w:rPr>
              <w:t xml:space="preserve"> </w:t>
            </w:r>
          </w:p>
          <w:p w14:paraId="6E492E77" w14:textId="77777777" w:rsidR="00EF624C" w:rsidRPr="00824640" w:rsidRDefault="00EF624C" w:rsidP="00EF624C">
            <w:pPr>
              <w:adjustRightInd w:val="0"/>
              <w:ind w:right="114" w:firstLine="534"/>
              <w:jc w:val="both"/>
              <w:rPr>
                <w:b/>
                <w:sz w:val="24"/>
                <w:szCs w:val="24"/>
              </w:rPr>
            </w:pPr>
            <w:r w:rsidRPr="00824640">
              <w:rPr>
                <w:b/>
                <w:sz w:val="24"/>
                <w:lang w:bidi="en-US"/>
              </w:rPr>
              <w:t xml:space="preserve">- </w:t>
            </w:r>
            <w:proofErr w:type="gramStart"/>
            <w:r w:rsidRPr="00824640">
              <w:rPr>
                <w:b/>
                <w:sz w:val="24"/>
                <w:lang w:bidi="en-US"/>
              </w:rPr>
              <w:t>the</w:t>
            </w:r>
            <w:proofErr w:type="gramEnd"/>
            <w:r w:rsidRPr="00824640">
              <w:rPr>
                <w:b/>
                <w:sz w:val="24"/>
                <w:lang w:bidi="en-US"/>
              </w:rPr>
              <w:t xml:space="preserve"> stake of an interested party in the authorized (pooled) capital (share of shares owned by the interested party) of a legal entity that i</w:t>
            </w:r>
            <w:r w:rsidR="00824640">
              <w:rPr>
                <w:b/>
                <w:sz w:val="24"/>
                <w:lang w:bidi="en-US"/>
              </w:rPr>
              <w:t>s a party to the transaction: 0</w:t>
            </w:r>
            <w:r w:rsidRPr="00824640">
              <w:rPr>
                <w:b/>
                <w:sz w:val="24"/>
                <w:lang w:bidi="en-US"/>
              </w:rPr>
              <w:t>%.</w:t>
            </w:r>
          </w:p>
          <w:p w14:paraId="08888E22" w14:textId="77777777" w:rsidR="00E369EF" w:rsidRPr="00824640" w:rsidRDefault="006A56FE" w:rsidP="004A38E6">
            <w:pPr>
              <w:widowControl w:val="0"/>
              <w:autoSpaceDE/>
              <w:autoSpaceDN/>
              <w:ind w:left="57" w:right="110" w:firstLine="142"/>
              <w:contextualSpacing/>
              <w:jc w:val="both"/>
              <w:rPr>
                <w:b/>
                <w:sz w:val="24"/>
                <w:szCs w:val="24"/>
              </w:rPr>
            </w:pPr>
            <w:r w:rsidRPr="00824640">
              <w:rPr>
                <w:sz w:val="24"/>
                <w:lang w:bidi="en-US"/>
              </w:rPr>
              <w:t xml:space="preserve">2.8. Information on the adoption of a decision on consent to the conclusion or on the subsequent </w:t>
            </w:r>
            <w:r w:rsidRPr="00824640">
              <w:rPr>
                <w:sz w:val="24"/>
                <w:lang w:bidi="en-US"/>
              </w:rPr>
              <w:lastRenderedPageBreak/>
              <w:t xml:space="preserve">approval of the transaction in the case when such a decision was made by the authorized management body of the issuer (name of the issuer's management body that made the decision on consent to the conclusion or on subsequent approval of the transaction, date of the said decision, date of drawing up and the number of the minutes of the meeting (session) of the issuer's management body, at which the said decision was made, if it was made by the issuer's collegial management body), or an indication that the decision on consent to the conclusion or on the subsequent approval of such a transaction was not made: </w:t>
            </w:r>
            <w:r w:rsidRPr="00824640">
              <w:rPr>
                <w:b/>
                <w:sz w:val="24"/>
                <w:lang w:bidi="en-US"/>
              </w:rPr>
              <w:t>The decision to approve the interested-party transaction was made by the Board of Directors of IDGC of North-West, PJSC on October 26, 2020, Minutes dated October 26, 2020. No. 379/15.</w:t>
            </w:r>
          </w:p>
        </w:tc>
      </w:tr>
      <w:tr w:rsidR="00137C8F" w:rsidRPr="00824640" w14:paraId="33455E1C"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0CB5BDF7" w14:textId="77777777" w:rsidR="00137C8F" w:rsidRPr="00824640" w:rsidRDefault="00137C8F" w:rsidP="006424E1">
            <w:pPr>
              <w:widowControl w:val="0"/>
              <w:autoSpaceDE/>
              <w:autoSpaceDN/>
              <w:spacing w:after="60"/>
              <w:jc w:val="center"/>
              <w:rPr>
                <w:sz w:val="24"/>
                <w:szCs w:val="24"/>
              </w:rPr>
            </w:pPr>
            <w:r w:rsidRPr="00824640">
              <w:rPr>
                <w:sz w:val="24"/>
                <w:lang w:bidi="en-US"/>
              </w:rPr>
              <w:lastRenderedPageBreak/>
              <w:t>3. Signature</w:t>
            </w:r>
          </w:p>
        </w:tc>
      </w:tr>
      <w:tr w:rsidR="008A470A" w:rsidRPr="00824640" w14:paraId="4D0B58F7"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0738268D" w14:textId="77777777" w:rsidR="00956F10" w:rsidRPr="00824640" w:rsidRDefault="008A470A" w:rsidP="006424E1">
            <w:pPr>
              <w:widowControl w:val="0"/>
              <w:ind w:left="498" w:hanging="441"/>
              <w:rPr>
                <w:sz w:val="24"/>
                <w:szCs w:val="24"/>
              </w:rPr>
            </w:pPr>
            <w:r w:rsidRPr="00824640">
              <w:rPr>
                <w:sz w:val="24"/>
                <w:lang w:bidi="en-US"/>
              </w:rPr>
              <w:t>3.1. Head of the Department for Corporate Governance and Shareholder Relations of IDGC of North-West, PJSC</w:t>
            </w:r>
          </w:p>
          <w:p w14:paraId="102BA28D" w14:textId="77777777" w:rsidR="008A470A" w:rsidRPr="00824640" w:rsidRDefault="00C93A19" w:rsidP="007D3B03">
            <w:pPr>
              <w:widowControl w:val="0"/>
              <w:autoSpaceDE/>
              <w:ind w:left="510"/>
              <w:rPr>
                <w:sz w:val="24"/>
                <w:szCs w:val="24"/>
                <w:lang w:eastAsia="en-US"/>
              </w:rPr>
            </w:pPr>
            <w:r w:rsidRPr="00824640">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7507BEF4" w14:textId="77777777" w:rsidR="008A470A" w:rsidRPr="00824640"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45359EA3" w14:textId="77777777" w:rsidR="008A470A" w:rsidRPr="00824640" w:rsidRDefault="008A470A" w:rsidP="006424E1">
            <w:pPr>
              <w:widowControl w:val="0"/>
              <w:spacing w:line="228" w:lineRule="auto"/>
              <w:ind w:left="57"/>
              <w:rPr>
                <w:sz w:val="24"/>
                <w:szCs w:val="24"/>
                <w:lang w:eastAsia="en-US"/>
              </w:rPr>
            </w:pPr>
          </w:p>
          <w:p w14:paraId="3513A0C4" w14:textId="77777777" w:rsidR="008A470A" w:rsidRPr="00824640" w:rsidRDefault="00C93A19" w:rsidP="006424E1">
            <w:pPr>
              <w:widowControl w:val="0"/>
              <w:spacing w:line="228" w:lineRule="auto"/>
              <w:ind w:left="57"/>
              <w:rPr>
                <w:sz w:val="24"/>
                <w:szCs w:val="24"/>
                <w:lang w:eastAsia="en-US"/>
              </w:rPr>
            </w:pPr>
            <w:r w:rsidRPr="00824640">
              <w:rPr>
                <w:sz w:val="24"/>
                <w:lang w:bidi="en-US"/>
              </w:rPr>
              <w:t xml:space="preserve">A.A. </w:t>
            </w:r>
            <w:proofErr w:type="spellStart"/>
            <w:r w:rsidRPr="00824640">
              <w:rPr>
                <w:sz w:val="24"/>
                <w:lang w:bidi="en-US"/>
              </w:rPr>
              <w:t>Temnyshev</w:t>
            </w:r>
            <w:proofErr w:type="spellEnd"/>
          </w:p>
        </w:tc>
      </w:tr>
      <w:tr w:rsidR="008A470A" w:rsidRPr="00824640" w14:paraId="6430540E"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4760ECCC" w14:textId="77777777" w:rsidR="008A470A" w:rsidRPr="00824640" w:rsidRDefault="008A470A" w:rsidP="006424E1">
            <w:pPr>
              <w:widowControl w:val="0"/>
              <w:autoSpaceDE/>
              <w:spacing w:line="276" w:lineRule="auto"/>
              <w:ind w:left="57"/>
              <w:rPr>
                <w:sz w:val="24"/>
                <w:szCs w:val="24"/>
                <w:lang w:eastAsia="en-US"/>
              </w:rPr>
            </w:pPr>
          </w:p>
          <w:p w14:paraId="6C692B9E" w14:textId="77777777" w:rsidR="008A470A" w:rsidRPr="00824640" w:rsidRDefault="008A470A" w:rsidP="00B03D34">
            <w:pPr>
              <w:widowControl w:val="0"/>
              <w:autoSpaceDE/>
              <w:spacing w:line="276" w:lineRule="auto"/>
              <w:ind w:left="57"/>
              <w:rPr>
                <w:sz w:val="24"/>
                <w:szCs w:val="24"/>
                <w:lang w:eastAsia="en-US"/>
              </w:rPr>
            </w:pPr>
            <w:r w:rsidRPr="00824640">
              <w:rPr>
                <w:sz w:val="24"/>
                <w:lang w:bidi="en-US"/>
              </w:rPr>
              <w:t>3.2. Date</w:t>
            </w:r>
            <w:r w:rsidRPr="00824640">
              <w:rPr>
                <w:b/>
                <w:sz w:val="24"/>
                <w:lang w:bidi="en-US"/>
              </w:rPr>
              <w:t xml:space="preserve"> November 03, 2020</w:t>
            </w:r>
          </w:p>
        </w:tc>
        <w:tc>
          <w:tcPr>
            <w:tcW w:w="3119" w:type="dxa"/>
            <w:tcBorders>
              <w:top w:val="nil"/>
              <w:left w:val="nil"/>
              <w:bottom w:val="single" w:sz="4" w:space="0" w:color="auto"/>
              <w:right w:val="nil"/>
            </w:tcBorders>
            <w:hideMark/>
          </w:tcPr>
          <w:p w14:paraId="19BB409D" w14:textId="77777777" w:rsidR="008A470A" w:rsidRPr="00824640" w:rsidRDefault="008A470A" w:rsidP="006424E1">
            <w:pPr>
              <w:widowControl w:val="0"/>
              <w:autoSpaceDE/>
              <w:spacing w:line="276" w:lineRule="auto"/>
              <w:ind w:left="57"/>
              <w:jc w:val="center"/>
              <w:rPr>
                <w:sz w:val="24"/>
                <w:szCs w:val="24"/>
                <w:lang w:eastAsia="en-US"/>
              </w:rPr>
            </w:pPr>
            <w:r w:rsidRPr="00824640">
              <w:rPr>
                <w:sz w:val="24"/>
                <w:lang w:bidi="en-US"/>
              </w:rPr>
              <w:t>(signature)</w:t>
            </w:r>
          </w:p>
          <w:p w14:paraId="3FAA9662" w14:textId="77777777" w:rsidR="008A470A" w:rsidRPr="00824640" w:rsidRDefault="008A470A" w:rsidP="006424E1">
            <w:pPr>
              <w:widowControl w:val="0"/>
              <w:autoSpaceDE/>
              <w:spacing w:line="276" w:lineRule="auto"/>
              <w:ind w:left="57"/>
              <w:jc w:val="center"/>
              <w:rPr>
                <w:sz w:val="24"/>
                <w:szCs w:val="24"/>
                <w:lang w:eastAsia="en-US"/>
              </w:rPr>
            </w:pPr>
            <w:r w:rsidRPr="00824640">
              <w:rPr>
                <w:sz w:val="24"/>
                <w:lang w:bidi="en-US"/>
              </w:rPr>
              <w:t>Stamp here</w:t>
            </w:r>
          </w:p>
        </w:tc>
        <w:tc>
          <w:tcPr>
            <w:tcW w:w="2126" w:type="dxa"/>
            <w:tcBorders>
              <w:top w:val="nil"/>
              <w:left w:val="nil"/>
              <w:bottom w:val="single" w:sz="4" w:space="0" w:color="auto"/>
              <w:right w:val="single" w:sz="4" w:space="0" w:color="auto"/>
            </w:tcBorders>
            <w:vAlign w:val="bottom"/>
          </w:tcPr>
          <w:p w14:paraId="0E581528" w14:textId="77777777" w:rsidR="008A470A" w:rsidRPr="00824640" w:rsidRDefault="008A470A" w:rsidP="006424E1">
            <w:pPr>
              <w:widowControl w:val="0"/>
              <w:autoSpaceDE/>
              <w:spacing w:line="276" w:lineRule="auto"/>
              <w:ind w:left="57"/>
              <w:rPr>
                <w:sz w:val="24"/>
                <w:szCs w:val="24"/>
                <w:lang w:eastAsia="en-US"/>
              </w:rPr>
            </w:pPr>
          </w:p>
        </w:tc>
      </w:tr>
    </w:tbl>
    <w:p w14:paraId="2D158397" w14:textId="77777777" w:rsidR="005512A4" w:rsidRPr="00824640" w:rsidRDefault="005512A4" w:rsidP="006424E1">
      <w:pPr>
        <w:widowControl w:val="0"/>
        <w:rPr>
          <w:sz w:val="24"/>
          <w:szCs w:val="24"/>
        </w:rPr>
      </w:pPr>
    </w:p>
    <w:p w14:paraId="2D65FDEA" w14:textId="77777777" w:rsidR="003D0D8C" w:rsidRPr="00824640" w:rsidRDefault="003D0D8C" w:rsidP="006424E1">
      <w:pPr>
        <w:widowControl w:val="0"/>
        <w:rPr>
          <w:sz w:val="24"/>
          <w:szCs w:val="24"/>
        </w:rPr>
      </w:pPr>
    </w:p>
    <w:p w14:paraId="3CCACD7A" w14:textId="77777777" w:rsidR="003D0D8C" w:rsidRPr="00824640" w:rsidRDefault="003D0D8C" w:rsidP="006424E1">
      <w:pPr>
        <w:widowControl w:val="0"/>
        <w:rPr>
          <w:sz w:val="24"/>
          <w:szCs w:val="24"/>
        </w:rPr>
      </w:pPr>
    </w:p>
    <w:p w14:paraId="4B39A87F" w14:textId="77777777" w:rsidR="003D0D8C" w:rsidRPr="00824640" w:rsidRDefault="003D0D8C" w:rsidP="006424E1">
      <w:pPr>
        <w:widowControl w:val="0"/>
        <w:rPr>
          <w:sz w:val="24"/>
          <w:szCs w:val="24"/>
        </w:rPr>
      </w:pPr>
    </w:p>
    <w:p w14:paraId="7E01EE8B" w14:textId="77777777" w:rsidR="003D0D8C" w:rsidRPr="00824640" w:rsidRDefault="003D0D8C">
      <w:pPr>
        <w:autoSpaceDE/>
        <w:autoSpaceDN/>
        <w:spacing w:after="200" w:line="276" w:lineRule="auto"/>
        <w:rPr>
          <w:sz w:val="24"/>
          <w:szCs w:val="24"/>
        </w:rPr>
      </w:pPr>
    </w:p>
    <w:p w14:paraId="2B29459B" w14:textId="77777777" w:rsidR="004004C3" w:rsidRPr="00824640" w:rsidRDefault="004004C3">
      <w:pPr>
        <w:autoSpaceDE/>
        <w:autoSpaceDN/>
        <w:spacing w:after="200" w:line="276" w:lineRule="auto"/>
        <w:rPr>
          <w:sz w:val="24"/>
          <w:szCs w:val="24"/>
        </w:rPr>
      </w:pPr>
    </w:p>
    <w:p w14:paraId="69600F91" w14:textId="77777777" w:rsidR="004004C3" w:rsidRPr="00824640" w:rsidRDefault="004004C3">
      <w:pPr>
        <w:autoSpaceDE/>
        <w:autoSpaceDN/>
        <w:spacing w:after="200" w:line="276" w:lineRule="auto"/>
        <w:rPr>
          <w:sz w:val="24"/>
          <w:szCs w:val="24"/>
        </w:rPr>
      </w:pPr>
    </w:p>
    <w:p w14:paraId="254219B9" w14:textId="77777777" w:rsidR="004004C3" w:rsidRPr="00824640" w:rsidRDefault="004004C3">
      <w:pPr>
        <w:autoSpaceDE/>
        <w:autoSpaceDN/>
        <w:spacing w:after="200" w:line="276" w:lineRule="auto"/>
        <w:rPr>
          <w:sz w:val="24"/>
          <w:szCs w:val="24"/>
        </w:rPr>
      </w:pPr>
    </w:p>
    <w:p w14:paraId="73E1A532" w14:textId="77777777" w:rsidR="004004C3" w:rsidRPr="00824640" w:rsidRDefault="004004C3">
      <w:pPr>
        <w:autoSpaceDE/>
        <w:autoSpaceDN/>
        <w:spacing w:after="200" w:line="276" w:lineRule="auto"/>
        <w:rPr>
          <w:sz w:val="24"/>
          <w:szCs w:val="24"/>
        </w:rPr>
      </w:pPr>
    </w:p>
    <w:p w14:paraId="328B6AF2" w14:textId="77777777" w:rsidR="004004C3" w:rsidRPr="00824640" w:rsidRDefault="004004C3">
      <w:pPr>
        <w:autoSpaceDE/>
        <w:autoSpaceDN/>
        <w:spacing w:after="200" w:line="276" w:lineRule="auto"/>
        <w:rPr>
          <w:sz w:val="24"/>
          <w:szCs w:val="24"/>
        </w:rPr>
      </w:pPr>
    </w:p>
    <w:p w14:paraId="2992A274" w14:textId="77777777" w:rsidR="004004C3" w:rsidRPr="00824640" w:rsidRDefault="004004C3">
      <w:pPr>
        <w:autoSpaceDE/>
        <w:autoSpaceDN/>
        <w:spacing w:after="200" w:line="276" w:lineRule="auto"/>
        <w:rPr>
          <w:sz w:val="24"/>
          <w:szCs w:val="24"/>
        </w:rPr>
      </w:pPr>
    </w:p>
    <w:p w14:paraId="796EFC20" w14:textId="77777777" w:rsidR="004004C3" w:rsidRPr="00824640" w:rsidRDefault="004004C3">
      <w:pPr>
        <w:autoSpaceDE/>
        <w:autoSpaceDN/>
        <w:spacing w:after="200" w:line="276" w:lineRule="auto"/>
        <w:rPr>
          <w:sz w:val="24"/>
          <w:szCs w:val="24"/>
        </w:rPr>
      </w:pPr>
    </w:p>
    <w:p w14:paraId="31CB5C79" w14:textId="77777777" w:rsidR="004004C3" w:rsidRPr="00824640" w:rsidRDefault="004004C3">
      <w:pPr>
        <w:autoSpaceDE/>
        <w:autoSpaceDN/>
        <w:spacing w:after="200" w:line="276" w:lineRule="auto"/>
        <w:rPr>
          <w:sz w:val="24"/>
          <w:szCs w:val="24"/>
        </w:rPr>
      </w:pPr>
    </w:p>
    <w:p w14:paraId="61A769BE" w14:textId="77777777" w:rsidR="004004C3" w:rsidRPr="00824640" w:rsidRDefault="004004C3">
      <w:pPr>
        <w:autoSpaceDE/>
        <w:autoSpaceDN/>
        <w:spacing w:after="200" w:line="276" w:lineRule="auto"/>
        <w:rPr>
          <w:sz w:val="24"/>
          <w:szCs w:val="24"/>
        </w:rPr>
      </w:pPr>
    </w:p>
    <w:p w14:paraId="6E908B6B" w14:textId="77777777" w:rsidR="004004C3" w:rsidRPr="00824640" w:rsidRDefault="004004C3">
      <w:pPr>
        <w:autoSpaceDE/>
        <w:autoSpaceDN/>
        <w:spacing w:after="200" w:line="276" w:lineRule="auto"/>
        <w:rPr>
          <w:sz w:val="24"/>
          <w:szCs w:val="24"/>
        </w:rPr>
      </w:pPr>
    </w:p>
    <w:p w14:paraId="3A416934" w14:textId="77777777" w:rsidR="004004C3" w:rsidRPr="00824640" w:rsidRDefault="004004C3">
      <w:pPr>
        <w:autoSpaceDE/>
        <w:autoSpaceDN/>
        <w:spacing w:after="200" w:line="276" w:lineRule="auto"/>
        <w:rPr>
          <w:sz w:val="24"/>
          <w:szCs w:val="24"/>
        </w:rPr>
      </w:pPr>
    </w:p>
    <w:p w14:paraId="7A6DC7EE" w14:textId="77777777" w:rsidR="004004C3" w:rsidRPr="00824640" w:rsidRDefault="004004C3">
      <w:pPr>
        <w:autoSpaceDE/>
        <w:autoSpaceDN/>
        <w:spacing w:after="200" w:line="276" w:lineRule="auto"/>
        <w:rPr>
          <w:sz w:val="24"/>
          <w:szCs w:val="24"/>
        </w:rPr>
      </w:pPr>
    </w:p>
    <w:p w14:paraId="609BDFB5" w14:textId="77777777" w:rsidR="004004C3" w:rsidRPr="00824640" w:rsidRDefault="004004C3">
      <w:pPr>
        <w:autoSpaceDE/>
        <w:autoSpaceDN/>
        <w:spacing w:after="200" w:line="276" w:lineRule="auto"/>
        <w:rPr>
          <w:sz w:val="24"/>
          <w:szCs w:val="24"/>
        </w:rPr>
      </w:pPr>
    </w:p>
    <w:p w14:paraId="56E21279" w14:textId="77777777" w:rsidR="004004C3" w:rsidRPr="00824640" w:rsidRDefault="004004C3">
      <w:pPr>
        <w:autoSpaceDE/>
        <w:autoSpaceDN/>
        <w:spacing w:after="200" w:line="276" w:lineRule="auto"/>
        <w:rPr>
          <w:sz w:val="24"/>
          <w:szCs w:val="24"/>
        </w:rPr>
      </w:pPr>
    </w:p>
    <w:p w14:paraId="39EB7F21" w14:textId="77777777" w:rsidR="004004C3" w:rsidRPr="00824640" w:rsidRDefault="004004C3">
      <w:pPr>
        <w:autoSpaceDE/>
        <w:autoSpaceDN/>
        <w:spacing w:after="200" w:line="276" w:lineRule="auto"/>
        <w:rPr>
          <w:sz w:val="24"/>
          <w:szCs w:val="24"/>
        </w:rPr>
      </w:pPr>
    </w:p>
    <w:p w14:paraId="1A78E04B" w14:textId="77777777" w:rsidR="004004C3" w:rsidRPr="00824640" w:rsidRDefault="004004C3">
      <w:pPr>
        <w:autoSpaceDE/>
        <w:autoSpaceDN/>
        <w:spacing w:after="200" w:line="276" w:lineRule="auto"/>
        <w:rPr>
          <w:sz w:val="24"/>
          <w:szCs w:val="24"/>
        </w:rPr>
      </w:pPr>
    </w:p>
    <w:p w14:paraId="2A4165C7" w14:textId="77777777" w:rsidR="004004C3" w:rsidRPr="00824640" w:rsidRDefault="004004C3">
      <w:pPr>
        <w:autoSpaceDE/>
        <w:autoSpaceDN/>
        <w:spacing w:after="200" w:line="276" w:lineRule="auto"/>
        <w:rPr>
          <w:sz w:val="24"/>
          <w:szCs w:val="24"/>
        </w:rPr>
      </w:pPr>
    </w:p>
    <w:p w14:paraId="29EA568A" w14:textId="77777777" w:rsidR="004004C3" w:rsidRPr="00824640" w:rsidRDefault="004004C3">
      <w:pPr>
        <w:autoSpaceDE/>
        <w:autoSpaceDN/>
        <w:spacing w:after="200" w:line="276" w:lineRule="auto"/>
        <w:rPr>
          <w:sz w:val="24"/>
          <w:szCs w:val="24"/>
        </w:rPr>
      </w:pPr>
    </w:p>
    <w:p w14:paraId="1E06BE68" w14:textId="77777777" w:rsidR="004004C3" w:rsidRPr="00824640" w:rsidRDefault="004004C3">
      <w:pPr>
        <w:autoSpaceDE/>
        <w:autoSpaceDN/>
        <w:spacing w:after="200" w:line="276" w:lineRule="auto"/>
        <w:rPr>
          <w:sz w:val="24"/>
          <w:szCs w:val="24"/>
        </w:rPr>
      </w:pPr>
    </w:p>
    <w:p w14:paraId="03C36032" w14:textId="77777777" w:rsidR="004004C3" w:rsidRPr="00824640" w:rsidRDefault="004004C3">
      <w:pPr>
        <w:autoSpaceDE/>
        <w:autoSpaceDN/>
        <w:spacing w:after="200" w:line="276" w:lineRule="auto"/>
        <w:rPr>
          <w:sz w:val="24"/>
          <w:szCs w:val="24"/>
        </w:rPr>
      </w:pPr>
    </w:p>
    <w:p w14:paraId="794E0B6B" w14:textId="77777777" w:rsidR="004004C3" w:rsidRPr="00824640" w:rsidRDefault="004004C3">
      <w:pPr>
        <w:autoSpaceDE/>
        <w:autoSpaceDN/>
        <w:spacing w:after="200" w:line="276" w:lineRule="auto"/>
        <w:rPr>
          <w:sz w:val="24"/>
          <w:szCs w:val="24"/>
        </w:rPr>
      </w:pPr>
    </w:p>
    <w:p w14:paraId="4218FCFC" w14:textId="77777777" w:rsidR="004004C3" w:rsidRPr="00824640" w:rsidRDefault="004004C3">
      <w:pPr>
        <w:autoSpaceDE/>
        <w:autoSpaceDN/>
        <w:spacing w:after="200" w:line="276" w:lineRule="auto"/>
        <w:rPr>
          <w:sz w:val="24"/>
          <w:szCs w:val="24"/>
        </w:rPr>
      </w:pPr>
    </w:p>
    <w:p w14:paraId="53AE25CA" w14:textId="77777777" w:rsidR="004004C3" w:rsidRPr="00824640" w:rsidRDefault="004004C3">
      <w:pPr>
        <w:autoSpaceDE/>
        <w:autoSpaceDN/>
        <w:spacing w:after="200" w:line="276" w:lineRule="auto"/>
        <w:rPr>
          <w:sz w:val="24"/>
          <w:szCs w:val="24"/>
        </w:rPr>
      </w:pPr>
    </w:p>
    <w:p w14:paraId="5AEC92D8" w14:textId="77777777" w:rsidR="004004C3" w:rsidRPr="00824640" w:rsidRDefault="004004C3">
      <w:pPr>
        <w:autoSpaceDE/>
        <w:autoSpaceDN/>
        <w:spacing w:after="200" w:line="276" w:lineRule="auto"/>
        <w:rPr>
          <w:sz w:val="24"/>
          <w:szCs w:val="24"/>
        </w:rPr>
      </w:pPr>
    </w:p>
    <w:p w14:paraId="40CA47DA" w14:textId="77777777" w:rsidR="004004C3" w:rsidRPr="00824640" w:rsidRDefault="004004C3">
      <w:pPr>
        <w:autoSpaceDE/>
        <w:autoSpaceDN/>
        <w:spacing w:after="200" w:line="276" w:lineRule="auto"/>
        <w:rPr>
          <w:sz w:val="24"/>
          <w:szCs w:val="24"/>
        </w:rPr>
      </w:pPr>
    </w:p>
    <w:p w14:paraId="2B3358CD" w14:textId="77777777" w:rsidR="004004C3" w:rsidRPr="00824640" w:rsidRDefault="004004C3">
      <w:pPr>
        <w:autoSpaceDE/>
        <w:autoSpaceDN/>
        <w:spacing w:after="200" w:line="276" w:lineRule="auto"/>
        <w:rPr>
          <w:sz w:val="24"/>
          <w:szCs w:val="24"/>
        </w:rPr>
      </w:pPr>
    </w:p>
    <w:p w14:paraId="6BE28BCF" w14:textId="77777777" w:rsidR="004004C3" w:rsidRPr="00824640" w:rsidRDefault="004004C3">
      <w:pPr>
        <w:autoSpaceDE/>
        <w:autoSpaceDN/>
        <w:spacing w:after="200" w:line="276" w:lineRule="auto"/>
        <w:rPr>
          <w:sz w:val="24"/>
          <w:szCs w:val="24"/>
        </w:rPr>
      </w:pPr>
    </w:p>
    <w:p w14:paraId="6D1A6E25" w14:textId="77777777" w:rsidR="004004C3" w:rsidRPr="00824640" w:rsidRDefault="004004C3">
      <w:pPr>
        <w:autoSpaceDE/>
        <w:autoSpaceDN/>
        <w:spacing w:after="200" w:line="276" w:lineRule="auto"/>
        <w:rPr>
          <w:sz w:val="24"/>
          <w:szCs w:val="24"/>
        </w:rPr>
      </w:pPr>
    </w:p>
    <w:p w14:paraId="2A007BA7" w14:textId="77777777" w:rsidR="004004C3" w:rsidRPr="00824640" w:rsidRDefault="004004C3">
      <w:pPr>
        <w:autoSpaceDE/>
        <w:autoSpaceDN/>
        <w:spacing w:after="200" w:line="276" w:lineRule="auto"/>
        <w:rPr>
          <w:sz w:val="24"/>
          <w:szCs w:val="24"/>
        </w:rPr>
      </w:pPr>
    </w:p>
    <w:p w14:paraId="6F947308" w14:textId="77777777" w:rsidR="004004C3" w:rsidRPr="00824640" w:rsidRDefault="004004C3">
      <w:pPr>
        <w:autoSpaceDE/>
        <w:autoSpaceDN/>
        <w:spacing w:after="200" w:line="276" w:lineRule="auto"/>
        <w:rPr>
          <w:sz w:val="24"/>
          <w:szCs w:val="24"/>
        </w:rPr>
      </w:pPr>
    </w:p>
    <w:p w14:paraId="2D0DF10B" w14:textId="77777777" w:rsidR="00CE38A2" w:rsidRPr="00824640" w:rsidRDefault="00CE38A2">
      <w:pPr>
        <w:autoSpaceDE/>
        <w:autoSpaceDN/>
        <w:spacing w:after="200" w:line="276" w:lineRule="auto"/>
        <w:rPr>
          <w:sz w:val="24"/>
          <w:szCs w:val="24"/>
        </w:rPr>
      </w:pPr>
    </w:p>
    <w:p w14:paraId="0AE505A5" w14:textId="77777777" w:rsidR="00CE38A2" w:rsidRPr="00824640" w:rsidRDefault="00CE38A2">
      <w:pPr>
        <w:autoSpaceDE/>
        <w:autoSpaceDN/>
        <w:spacing w:after="200" w:line="276" w:lineRule="auto"/>
        <w:rPr>
          <w:sz w:val="24"/>
          <w:szCs w:val="24"/>
        </w:rPr>
      </w:pPr>
    </w:p>
    <w:p w14:paraId="0F164BD5" w14:textId="77777777" w:rsidR="00CE38A2" w:rsidRPr="00824640" w:rsidRDefault="00CE38A2">
      <w:pPr>
        <w:autoSpaceDE/>
        <w:autoSpaceDN/>
        <w:spacing w:after="200" w:line="276" w:lineRule="auto"/>
        <w:rPr>
          <w:sz w:val="24"/>
          <w:szCs w:val="24"/>
        </w:rPr>
      </w:pPr>
    </w:p>
    <w:p w14:paraId="6567E964" w14:textId="77777777" w:rsidR="00CE38A2" w:rsidRPr="00824640" w:rsidRDefault="00CE38A2">
      <w:pPr>
        <w:autoSpaceDE/>
        <w:autoSpaceDN/>
        <w:spacing w:after="200" w:line="276" w:lineRule="auto"/>
        <w:rPr>
          <w:sz w:val="24"/>
          <w:szCs w:val="24"/>
        </w:rPr>
      </w:pPr>
    </w:p>
    <w:p w14:paraId="5E719850" w14:textId="77777777" w:rsidR="00CE38A2" w:rsidRPr="00824640" w:rsidRDefault="00CE38A2">
      <w:pPr>
        <w:autoSpaceDE/>
        <w:autoSpaceDN/>
        <w:spacing w:after="200" w:line="276" w:lineRule="auto"/>
        <w:rPr>
          <w:sz w:val="24"/>
          <w:szCs w:val="24"/>
        </w:rPr>
      </w:pPr>
    </w:p>
    <w:p w14:paraId="46ED1FFC" w14:textId="77777777" w:rsidR="00CE38A2" w:rsidRPr="00824640" w:rsidRDefault="00CE38A2">
      <w:pPr>
        <w:autoSpaceDE/>
        <w:autoSpaceDN/>
        <w:spacing w:after="200" w:line="276" w:lineRule="auto"/>
        <w:rPr>
          <w:sz w:val="24"/>
          <w:szCs w:val="24"/>
        </w:rPr>
      </w:pPr>
    </w:p>
    <w:p w14:paraId="11F0E81B" w14:textId="77777777" w:rsidR="004004C3" w:rsidRPr="00824640" w:rsidRDefault="004004C3">
      <w:pPr>
        <w:autoSpaceDE/>
        <w:autoSpaceDN/>
        <w:spacing w:after="200" w:line="276" w:lineRule="auto"/>
        <w:rPr>
          <w:sz w:val="24"/>
          <w:szCs w:val="24"/>
        </w:rPr>
      </w:pPr>
    </w:p>
    <w:tbl>
      <w:tblPr>
        <w:tblW w:w="10065" w:type="dxa"/>
        <w:jc w:val="center"/>
        <w:tblLayout w:type="fixed"/>
        <w:tblLook w:val="04A0" w:firstRow="1" w:lastRow="0" w:firstColumn="1" w:lastColumn="0" w:noHBand="0" w:noVBand="1"/>
      </w:tblPr>
      <w:tblGrid>
        <w:gridCol w:w="5528"/>
        <w:gridCol w:w="2552"/>
        <w:gridCol w:w="1985"/>
      </w:tblGrid>
      <w:tr w:rsidR="003D0D8C" w:rsidRPr="00824640" w14:paraId="60D9FB9A" w14:textId="77777777" w:rsidTr="004004C3">
        <w:trPr>
          <w:jc w:val="center"/>
        </w:trPr>
        <w:tc>
          <w:tcPr>
            <w:tcW w:w="5528" w:type="dxa"/>
            <w:vAlign w:val="bottom"/>
          </w:tcPr>
          <w:p w14:paraId="62051A50" w14:textId="22F9CEF8" w:rsidR="003D0D8C" w:rsidRPr="00417D7C" w:rsidRDefault="003D0D8C" w:rsidP="00417D7C">
            <w:pPr>
              <w:spacing w:line="276" w:lineRule="auto"/>
              <w:rPr>
                <w:sz w:val="24"/>
                <w:szCs w:val="24"/>
                <w:lang w:eastAsia="en-US"/>
              </w:rPr>
            </w:pPr>
            <w:r w:rsidRPr="00824640">
              <w:rPr>
                <w:sz w:val="24"/>
                <w:lang w:bidi="en-US"/>
              </w:rPr>
              <w:t>H</w:t>
            </w:r>
            <w:r w:rsidR="00417D7C">
              <w:rPr>
                <w:sz w:val="24"/>
                <w:lang w:bidi="en-US"/>
              </w:rPr>
              <w:t>ead of the Corporate Finance Department</w:t>
            </w:r>
          </w:p>
        </w:tc>
        <w:tc>
          <w:tcPr>
            <w:tcW w:w="2552" w:type="dxa"/>
            <w:vAlign w:val="bottom"/>
          </w:tcPr>
          <w:p w14:paraId="78CF6C57" w14:textId="77777777" w:rsidR="003D0D8C" w:rsidRPr="00824640" w:rsidRDefault="003D0D8C" w:rsidP="003D0D8C">
            <w:pPr>
              <w:spacing w:line="276" w:lineRule="auto"/>
              <w:rPr>
                <w:sz w:val="24"/>
                <w:szCs w:val="24"/>
                <w:lang w:eastAsia="en-US"/>
              </w:rPr>
            </w:pPr>
            <w:r w:rsidRPr="00824640">
              <w:rPr>
                <w:sz w:val="24"/>
                <w:lang w:bidi="en-US"/>
              </w:rPr>
              <w:t>__________________</w:t>
            </w:r>
          </w:p>
        </w:tc>
        <w:tc>
          <w:tcPr>
            <w:tcW w:w="1985" w:type="dxa"/>
            <w:vAlign w:val="bottom"/>
          </w:tcPr>
          <w:p w14:paraId="487C3A6B" w14:textId="77777777" w:rsidR="003D0D8C" w:rsidRPr="00824640" w:rsidRDefault="00BA67E1" w:rsidP="003D0D8C">
            <w:pPr>
              <w:spacing w:line="276" w:lineRule="auto"/>
              <w:rPr>
                <w:sz w:val="24"/>
                <w:szCs w:val="24"/>
                <w:lang w:eastAsia="en-US"/>
              </w:rPr>
            </w:pPr>
            <w:r>
              <w:rPr>
                <w:sz w:val="24"/>
                <w:lang w:bidi="en-US"/>
              </w:rPr>
              <w:t>L.</w:t>
            </w:r>
            <w:r w:rsidR="003D0D8C" w:rsidRPr="00824640">
              <w:rPr>
                <w:sz w:val="24"/>
                <w:lang w:bidi="en-US"/>
              </w:rPr>
              <w:t xml:space="preserve">V. </w:t>
            </w:r>
            <w:proofErr w:type="spellStart"/>
            <w:r w:rsidR="003D0D8C" w:rsidRPr="00824640">
              <w:rPr>
                <w:sz w:val="24"/>
                <w:lang w:bidi="en-US"/>
              </w:rPr>
              <w:t>Verlan</w:t>
            </w:r>
            <w:proofErr w:type="spellEnd"/>
          </w:p>
        </w:tc>
      </w:tr>
      <w:tr w:rsidR="003D0D8C" w:rsidRPr="00824640" w14:paraId="1DF5BC1A" w14:textId="77777777" w:rsidTr="004004C3">
        <w:trPr>
          <w:jc w:val="center"/>
        </w:trPr>
        <w:tc>
          <w:tcPr>
            <w:tcW w:w="5528" w:type="dxa"/>
            <w:vAlign w:val="bottom"/>
          </w:tcPr>
          <w:p w14:paraId="25962FE5" w14:textId="77777777" w:rsidR="003D0D8C" w:rsidRPr="00824640" w:rsidRDefault="003D0D8C" w:rsidP="003D0D8C">
            <w:pPr>
              <w:spacing w:line="276" w:lineRule="auto"/>
              <w:rPr>
                <w:sz w:val="24"/>
                <w:szCs w:val="24"/>
                <w:lang w:eastAsia="en-US"/>
              </w:rPr>
            </w:pPr>
          </w:p>
          <w:p w14:paraId="0DB81BB7" w14:textId="77777777" w:rsidR="003D0D8C" w:rsidRPr="00824640" w:rsidRDefault="003D0D8C" w:rsidP="003D0D8C">
            <w:pPr>
              <w:spacing w:line="276" w:lineRule="auto"/>
              <w:rPr>
                <w:sz w:val="24"/>
                <w:szCs w:val="24"/>
                <w:lang w:eastAsia="en-US"/>
              </w:rPr>
            </w:pPr>
          </w:p>
          <w:p w14:paraId="6B0C05CF" w14:textId="4C111A4B" w:rsidR="003D0D8C" w:rsidRPr="00824640" w:rsidRDefault="003D0D8C" w:rsidP="00417D7C">
            <w:pPr>
              <w:spacing w:line="276" w:lineRule="auto"/>
              <w:rPr>
                <w:sz w:val="24"/>
                <w:szCs w:val="24"/>
                <w:lang w:eastAsia="en-US"/>
              </w:rPr>
            </w:pPr>
            <w:r w:rsidRPr="00824640">
              <w:rPr>
                <w:sz w:val="24"/>
                <w:lang w:bidi="en-US"/>
              </w:rPr>
              <w:t xml:space="preserve">Head of the Corporate Governance </w:t>
            </w:r>
            <w:r w:rsidR="00417D7C">
              <w:rPr>
                <w:sz w:val="24"/>
                <w:lang w:bidi="en-US"/>
              </w:rPr>
              <w:t>Department</w:t>
            </w:r>
            <w:bookmarkStart w:id="0" w:name="_GoBack"/>
            <w:bookmarkEnd w:id="0"/>
            <w:r w:rsidR="00824640">
              <w:rPr>
                <w:sz w:val="24"/>
                <w:lang w:bidi="en-US"/>
              </w:rPr>
              <w:t xml:space="preserve"> </w:t>
            </w:r>
          </w:p>
        </w:tc>
        <w:tc>
          <w:tcPr>
            <w:tcW w:w="2552" w:type="dxa"/>
            <w:vAlign w:val="bottom"/>
            <w:hideMark/>
          </w:tcPr>
          <w:p w14:paraId="4747B73B" w14:textId="77777777" w:rsidR="003D0D8C" w:rsidRPr="00824640" w:rsidRDefault="003D0D8C" w:rsidP="003D0D8C">
            <w:pPr>
              <w:spacing w:line="276" w:lineRule="auto"/>
              <w:rPr>
                <w:sz w:val="24"/>
                <w:szCs w:val="24"/>
                <w:lang w:eastAsia="en-US"/>
              </w:rPr>
            </w:pPr>
            <w:r w:rsidRPr="00824640">
              <w:rPr>
                <w:sz w:val="24"/>
                <w:lang w:bidi="en-US"/>
              </w:rPr>
              <w:t>__________________</w:t>
            </w:r>
          </w:p>
        </w:tc>
        <w:tc>
          <w:tcPr>
            <w:tcW w:w="1985" w:type="dxa"/>
            <w:vAlign w:val="bottom"/>
            <w:hideMark/>
          </w:tcPr>
          <w:p w14:paraId="254D34F7" w14:textId="77777777" w:rsidR="003D0D8C" w:rsidRPr="00824640" w:rsidRDefault="003D0D8C" w:rsidP="003D0D8C">
            <w:pPr>
              <w:spacing w:line="276" w:lineRule="auto"/>
              <w:rPr>
                <w:sz w:val="24"/>
                <w:szCs w:val="24"/>
                <w:lang w:eastAsia="en-US"/>
              </w:rPr>
            </w:pPr>
            <w:proofErr w:type="spellStart"/>
            <w:r w:rsidRPr="00824640">
              <w:rPr>
                <w:sz w:val="24"/>
                <w:lang w:bidi="en-US"/>
              </w:rPr>
              <w:t>L.Yu</w:t>
            </w:r>
            <w:proofErr w:type="spellEnd"/>
            <w:r w:rsidRPr="00824640">
              <w:rPr>
                <w:sz w:val="24"/>
                <w:lang w:bidi="en-US"/>
              </w:rPr>
              <w:t xml:space="preserve">. </w:t>
            </w:r>
            <w:proofErr w:type="spellStart"/>
            <w:r w:rsidRPr="00824640">
              <w:rPr>
                <w:sz w:val="24"/>
                <w:lang w:bidi="en-US"/>
              </w:rPr>
              <w:t>Nazarenko</w:t>
            </w:r>
            <w:proofErr w:type="spellEnd"/>
          </w:p>
        </w:tc>
      </w:tr>
      <w:tr w:rsidR="003D0D8C" w:rsidRPr="00824640" w14:paraId="1608C43B" w14:textId="77777777" w:rsidTr="004004C3">
        <w:trPr>
          <w:jc w:val="center"/>
        </w:trPr>
        <w:tc>
          <w:tcPr>
            <w:tcW w:w="5528" w:type="dxa"/>
            <w:vAlign w:val="bottom"/>
          </w:tcPr>
          <w:p w14:paraId="773DF926" w14:textId="77777777" w:rsidR="003D0D8C" w:rsidRPr="00824640" w:rsidRDefault="003D0D8C" w:rsidP="003D0D8C">
            <w:pPr>
              <w:spacing w:line="276" w:lineRule="auto"/>
              <w:rPr>
                <w:sz w:val="24"/>
                <w:szCs w:val="24"/>
                <w:lang w:eastAsia="en-US"/>
              </w:rPr>
            </w:pPr>
          </w:p>
          <w:p w14:paraId="1F8C207E" w14:textId="77777777" w:rsidR="003D0D8C" w:rsidRPr="00824640" w:rsidRDefault="003D0D8C" w:rsidP="003D0D8C">
            <w:pPr>
              <w:spacing w:line="276" w:lineRule="auto"/>
              <w:rPr>
                <w:sz w:val="24"/>
                <w:szCs w:val="24"/>
                <w:lang w:eastAsia="en-US"/>
              </w:rPr>
            </w:pPr>
          </w:p>
          <w:p w14:paraId="5DC734A6" w14:textId="77777777" w:rsidR="003D0D8C" w:rsidRPr="00824640" w:rsidRDefault="003D0D8C" w:rsidP="003D0D8C">
            <w:pPr>
              <w:spacing w:line="276" w:lineRule="auto"/>
              <w:rPr>
                <w:sz w:val="24"/>
                <w:szCs w:val="24"/>
                <w:lang w:eastAsia="en-US"/>
              </w:rPr>
            </w:pPr>
            <w:r w:rsidRPr="00824640">
              <w:rPr>
                <w:sz w:val="24"/>
                <w:lang w:bidi="en-US"/>
              </w:rPr>
              <w:t>Head of the Investor Relations Department</w:t>
            </w:r>
          </w:p>
        </w:tc>
        <w:tc>
          <w:tcPr>
            <w:tcW w:w="2552" w:type="dxa"/>
            <w:vAlign w:val="bottom"/>
            <w:hideMark/>
          </w:tcPr>
          <w:p w14:paraId="3E3BAAF5" w14:textId="77777777" w:rsidR="003D0D8C" w:rsidRPr="00824640" w:rsidRDefault="003D0D8C" w:rsidP="003D0D8C">
            <w:pPr>
              <w:spacing w:line="276" w:lineRule="auto"/>
              <w:jc w:val="right"/>
              <w:rPr>
                <w:sz w:val="24"/>
                <w:szCs w:val="24"/>
                <w:lang w:eastAsia="en-US"/>
              </w:rPr>
            </w:pPr>
            <w:r w:rsidRPr="00824640">
              <w:rPr>
                <w:sz w:val="24"/>
                <w:lang w:bidi="en-US"/>
              </w:rPr>
              <w:t>__________________</w:t>
            </w:r>
          </w:p>
        </w:tc>
        <w:tc>
          <w:tcPr>
            <w:tcW w:w="1985" w:type="dxa"/>
            <w:vAlign w:val="bottom"/>
            <w:hideMark/>
          </w:tcPr>
          <w:p w14:paraId="121A4D00" w14:textId="77777777" w:rsidR="003D0D8C" w:rsidRPr="00824640" w:rsidRDefault="003D0D8C" w:rsidP="003D0D8C">
            <w:pPr>
              <w:spacing w:line="276" w:lineRule="auto"/>
              <w:rPr>
                <w:sz w:val="24"/>
                <w:szCs w:val="24"/>
                <w:lang w:eastAsia="en-US"/>
              </w:rPr>
            </w:pPr>
            <w:r w:rsidRPr="00824640">
              <w:rPr>
                <w:sz w:val="24"/>
                <w:lang w:bidi="en-US"/>
              </w:rPr>
              <w:t xml:space="preserve">L.V. </w:t>
            </w:r>
            <w:proofErr w:type="spellStart"/>
            <w:r w:rsidRPr="00824640">
              <w:rPr>
                <w:sz w:val="24"/>
                <w:lang w:bidi="en-US"/>
              </w:rPr>
              <w:t>Vasinyuk</w:t>
            </w:r>
            <w:proofErr w:type="spellEnd"/>
          </w:p>
        </w:tc>
      </w:tr>
    </w:tbl>
    <w:p w14:paraId="695CCCFE" w14:textId="77777777" w:rsidR="003D0D8C" w:rsidRPr="00824640" w:rsidRDefault="003D0D8C" w:rsidP="006424E1">
      <w:pPr>
        <w:widowControl w:val="0"/>
        <w:rPr>
          <w:sz w:val="24"/>
          <w:szCs w:val="24"/>
        </w:rPr>
      </w:pPr>
    </w:p>
    <w:sectPr w:rsidR="003D0D8C" w:rsidRPr="00824640" w:rsidSect="008B4031">
      <w:footerReference w:type="default" r:id="rId11"/>
      <w:pgSz w:w="11906" w:h="16838" w:code="9"/>
      <w:pgMar w:top="851" w:right="567" w:bottom="567" w:left="1134" w:header="567"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B34C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FD6C4" w14:textId="77777777" w:rsidR="00E838F8" w:rsidRDefault="00E838F8">
      <w:r>
        <w:separator/>
      </w:r>
    </w:p>
  </w:endnote>
  <w:endnote w:type="continuationSeparator" w:id="0">
    <w:p w14:paraId="407FD545" w14:textId="77777777" w:rsidR="00E838F8" w:rsidRDefault="00E8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B8AAA" w14:textId="77777777" w:rsidR="00C57DF8" w:rsidRPr="00846E0F" w:rsidRDefault="00E838F8"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E48EC" w14:textId="77777777" w:rsidR="00E838F8" w:rsidRDefault="00E838F8">
      <w:r>
        <w:separator/>
      </w:r>
    </w:p>
  </w:footnote>
  <w:footnote w:type="continuationSeparator" w:id="0">
    <w:p w14:paraId="604D2E7E" w14:textId="77777777" w:rsidR="00E838F8" w:rsidRDefault="00E83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4"/>
  </w:num>
  <w:num w:numId="5">
    <w:abstractNumId w:val="12"/>
  </w:num>
  <w:num w:numId="6">
    <w:abstractNumId w:val="7"/>
  </w:num>
  <w:num w:numId="7">
    <w:abstractNumId w:val="18"/>
  </w:num>
  <w:num w:numId="8">
    <w:abstractNumId w:val="2"/>
  </w:num>
  <w:num w:numId="9">
    <w:abstractNumId w:val="1"/>
  </w:num>
  <w:num w:numId="10">
    <w:abstractNumId w:val="19"/>
  </w:num>
  <w:num w:numId="11">
    <w:abstractNumId w:val="16"/>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1"/>
  </w:num>
  <w:num w:numId="19">
    <w:abstractNumId w:val="15"/>
  </w:num>
  <w:num w:numId="20">
    <w:abstractNumId w:val="5"/>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36AEE"/>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22AF"/>
    <w:rsid w:val="00097E5D"/>
    <w:rsid w:val="000A4F27"/>
    <w:rsid w:val="000A5DAC"/>
    <w:rsid w:val="000A7613"/>
    <w:rsid w:val="000B1EB5"/>
    <w:rsid w:val="000B3EC7"/>
    <w:rsid w:val="000B6AB6"/>
    <w:rsid w:val="000B6E84"/>
    <w:rsid w:val="000C0B76"/>
    <w:rsid w:val="000C399E"/>
    <w:rsid w:val="000C445D"/>
    <w:rsid w:val="000C4FB7"/>
    <w:rsid w:val="000C5956"/>
    <w:rsid w:val="000C7A53"/>
    <w:rsid w:val="000D0451"/>
    <w:rsid w:val="000D7BE8"/>
    <w:rsid w:val="000E3043"/>
    <w:rsid w:val="00104B5F"/>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A6BAD"/>
    <w:rsid w:val="001B0B92"/>
    <w:rsid w:val="001B1CC7"/>
    <w:rsid w:val="001B1FBB"/>
    <w:rsid w:val="001B2261"/>
    <w:rsid w:val="001B2E59"/>
    <w:rsid w:val="001B4F75"/>
    <w:rsid w:val="001B6DF0"/>
    <w:rsid w:val="001B719D"/>
    <w:rsid w:val="001C5359"/>
    <w:rsid w:val="001D0203"/>
    <w:rsid w:val="001D1AD3"/>
    <w:rsid w:val="001D2D40"/>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7FC"/>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1D83"/>
    <w:rsid w:val="002C3D78"/>
    <w:rsid w:val="002C55C9"/>
    <w:rsid w:val="002C58D9"/>
    <w:rsid w:val="002D2A9D"/>
    <w:rsid w:val="002D4031"/>
    <w:rsid w:val="002D7642"/>
    <w:rsid w:val="002D7725"/>
    <w:rsid w:val="002D7DB9"/>
    <w:rsid w:val="002E0F58"/>
    <w:rsid w:val="002E15DE"/>
    <w:rsid w:val="002E558F"/>
    <w:rsid w:val="002F22EF"/>
    <w:rsid w:val="002F39D8"/>
    <w:rsid w:val="002F78EB"/>
    <w:rsid w:val="002F7B00"/>
    <w:rsid w:val="00301AD2"/>
    <w:rsid w:val="00301C84"/>
    <w:rsid w:val="00306423"/>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6FB5"/>
    <w:rsid w:val="003805AA"/>
    <w:rsid w:val="003828C2"/>
    <w:rsid w:val="00385EE1"/>
    <w:rsid w:val="00386D52"/>
    <w:rsid w:val="0039798F"/>
    <w:rsid w:val="003A36D7"/>
    <w:rsid w:val="003B1BBE"/>
    <w:rsid w:val="003B604D"/>
    <w:rsid w:val="003B72C1"/>
    <w:rsid w:val="003C32E0"/>
    <w:rsid w:val="003C4DFF"/>
    <w:rsid w:val="003C5E53"/>
    <w:rsid w:val="003D0D8C"/>
    <w:rsid w:val="003D4FB7"/>
    <w:rsid w:val="003D6CA9"/>
    <w:rsid w:val="003E15D3"/>
    <w:rsid w:val="003E17B2"/>
    <w:rsid w:val="003F02DD"/>
    <w:rsid w:val="003F0E08"/>
    <w:rsid w:val="003F34BB"/>
    <w:rsid w:val="003F4949"/>
    <w:rsid w:val="003F694E"/>
    <w:rsid w:val="00400365"/>
    <w:rsid w:val="004004C3"/>
    <w:rsid w:val="00401533"/>
    <w:rsid w:val="004043CD"/>
    <w:rsid w:val="004053E4"/>
    <w:rsid w:val="004073B5"/>
    <w:rsid w:val="00407B75"/>
    <w:rsid w:val="00416023"/>
    <w:rsid w:val="00416DDF"/>
    <w:rsid w:val="0041707F"/>
    <w:rsid w:val="00417D7C"/>
    <w:rsid w:val="00423529"/>
    <w:rsid w:val="00424501"/>
    <w:rsid w:val="00425391"/>
    <w:rsid w:val="004273D5"/>
    <w:rsid w:val="00430BC6"/>
    <w:rsid w:val="004338E8"/>
    <w:rsid w:val="00441B1B"/>
    <w:rsid w:val="0044761A"/>
    <w:rsid w:val="0045025B"/>
    <w:rsid w:val="0045313D"/>
    <w:rsid w:val="00460CBC"/>
    <w:rsid w:val="00466FC9"/>
    <w:rsid w:val="00475624"/>
    <w:rsid w:val="00482030"/>
    <w:rsid w:val="004869DA"/>
    <w:rsid w:val="00486AE4"/>
    <w:rsid w:val="00491FB5"/>
    <w:rsid w:val="00492C9E"/>
    <w:rsid w:val="004A38E6"/>
    <w:rsid w:val="004A48C1"/>
    <w:rsid w:val="004B0BF7"/>
    <w:rsid w:val="004B1220"/>
    <w:rsid w:val="004B51BF"/>
    <w:rsid w:val="004B5FE6"/>
    <w:rsid w:val="004C00A5"/>
    <w:rsid w:val="004C0BD5"/>
    <w:rsid w:val="004C16ED"/>
    <w:rsid w:val="004C627B"/>
    <w:rsid w:val="004D0C72"/>
    <w:rsid w:val="004D1633"/>
    <w:rsid w:val="004E5B3C"/>
    <w:rsid w:val="004F44A3"/>
    <w:rsid w:val="0050302E"/>
    <w:rsid w:val="00504AAC"/>
    <w:rsid w:val="005058C4"/>
    <w:rsid w:val="00506C4D"/>
    <w:rsid w:val="00507927"/>
    <w:rsid w:val="005114A1"/>
    <w:rsid w:val="00515760"/>
    <w:rsid w:val="0052046E"/>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1E23"/>
    <w:rsid w:val="00595EEF"/>
    <w:rsid w:val="005A2B0C"/>
    <w:rsid w:val="005A5015"/>
    <w:rsid w:val="005B2BBE"/>
    <w:rsid w:val="005B37A6"/>
    <w:rsid w:val="005B56C7"/>
    <w:rsid w:val="005B7020"/>
    <w:rsid w:val="005C3185"/>
    <w:rsid w:val="005C3E5E"/>
    <w:rsid w:val="005C4EDC"/>
    <w:rsid w:val="005C6909"/>
    <w:rsid w:val="005D4435"/>
    <w:rsid w:val="005D53F1"/>
    <w:rsid w:val="005F1EA3"/>
    <w:rsid w:val="00605DA0"/>
    <w:rsid w:val="0061523F"/>
    <w:rsid w:val="0062044B"/>
    <w:rsid w:val="006208B2"/>
    <w:rsid w:val="0062170F"/>
    <w:rsid w:val="006229AD"/>
    <w:rsid w:val="0062528B"/>
    <w:rsid w:val="0063115F"/>
    <w:rsid w:val="0063126E"/>
    <w:rsid w:val="006319DD"/>
    <w:rsid w:val="0063414B"/>
    <w:rsid w:val="00634959"/>
    <w:rsid w:val="006353C4"/>
    <w:rsid w:val="0063714F"/>
    <w:rsid w:val="00637A02"/>
    <w:rsid w:val="00637AC7"/>
    <w:rsid w:val="00640AF3"/>
    <w:rsid w:val="006424E1"/>
    <w:rsid w:val="0065138C"/>
    <w:rsid w:val="006520D1"/>
    <w:rsid w:val="0065458B"/>
    <w:rsid w:val="00657D6C"/>
    <w:rsid w:val="006600CB"/>
    <w:rsid w:val="00663819"/>
    <w:rsid w:val="006670FF"/>
    <w:rsid w:val="00670373"/>
    <w:rsid w:val="006865A9"/>
    <w:rsid w:val="00686758"/>
    <w:rsid w:val="0069025C"/>
    <w:rsid w:val="006907BF"/>
    <w:rsid w:val="006910BC"/>
    <w:rsid w:val="00691210"/>
    <w:rsid w:val="0069314A"/>
    <w:rsid w:val="00696055"/>
    <w:rsid w:val="006977C3"/>
    <w:rsid w:val="00697B87"/>
    <w:rsid w:val="006A1F4B"/>
    <w:rsid w:val="006A3379"/>
    <w:rsid w:val="006A4609"/>
    <w:rsid w:val="006A56FE"/>
    <w:rsid w:val="006B13D7"/>
    <w:rsid w:val="006B3338"/>
    <w:rsid w:val="006B4BD6"/>
    <w:rsid w:val="006C0DD0"/>
    <w:rsid w:val="006C1EA4"/>
    <w:rsid w:val="006C65F3"/>
    <w:rsid w:val="006C7616"/>
    <w:rsid w:val="006D0C30"/>
    <w:rsid w:val="006D3AB3"/>
    <w:rsid w:val="006D3EF6"/>
    <w:rsid w:val="006D59A3"/>
    <w:rsid w:val="006D769C"/>
    <w:rsid w:val="006E15E5"/>
    <w:rsid w:val="006E3830"/>
    <w:rsid w:val="006E504D"/>
    <w:rsid w:val="006E6DB5"/>
    <w:rsid w:val="006E7ACA"/>
    <w:rsid w:val="006F121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2749A"/>
    <w:rsid w:val="0073018C"/>
    <w:rsid w:val="00734AF6"/>
    <w:rsid w:val="00735C32"/>
    <w:rsid w:val="00735D5D"/>
    <w:rsid w:val="007369DA"/>
    <w:rsid w:val="00742946"/>
    <w:rsid w:val="00743B92"/>
    <w:rsid w:val="00750941"/>
    <w:rsid w:val="00762A03"/>
    <w:rsid w:val="00765DA1"/>
    <w:rsid w:val="00766F00"/>
    <w:rsid w:val="0076700C"/>
    <w:rsid w:val="00767714"/>
    <w:rsid w:val="00771E06"/>
    <w:rsid w:val="0078008D"/>
    <w:rsid w:val="0078738E"/>
    <w:rsid w:val="0079397C"/>
    <w:rsid w:val="00794DFF"/>
    <w:rsid w:val="00796375"/>
    <w:rsid w:val="0079640C"/>
    <w:rsid w:val="00796BA5"/>
    <w:rsid w:val="007A1F2C"/>
    <w:rsid w:val="007A4DB8"/>
    <w:rsid w:val="007A7F11"/>
    <w:rsid w:val="007B049D"/>
    <w:rsid w:val="007B1744"/>
    <w:rsid w:val="007B26AD"/>
    <w:rsid w:val="007B43C9"/>
    <w:rsid w:val="007B6745"/>
    <w:rsid w:val="007D2C61"/>
    <w:rsid w:val="007D32C7"/>
    <w:rsid w:val="007D3B03"/>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4640"/>
    <w:rsid w:val="00825DC2"/>
    <w:rsid w:val="008300EB"/>
    <w:rsid w:val="00834D60"/>
    <w:rsid w:val="00840286"/>
    <w:rsid w:val="00840DAC"/>
    <w:rsid w:val="00841958"/>
    <w:rsid w:val="0084327A"/>
    <w:rsid w:val="008467FD"/>
    <w:rsid w:val="008472BC"/>
    <w:rsid w:val="00850A14"/>
    <w:rsid w:val="008518D6"/>
    <w:rsid w:val="0085454C"/>
    <w:rsid w:val="008548DF"/>
    <w:rsid w:val="00855E05"/>
    <w:rsid w:val="008560DB"/>
    <w:rsid w:val="008614B8"/>
    <w:rsid w:val="00861CE5"/>
    <w:rsid w:val="00862E51"/>
    <w:rsid w:val="00863671"/>
    <w:rsid w:val="00867582"/>
    <w:rsid w:val="008748ED"/>
    <w:rsid w:val="008756DD"/>
    <w:rsid w:val="0087766B"/>
    <w:rsid w:val="00880816"/>
    <w:rsid w:val="00881FF9"/>
    <w:rsid w:val="0088301C"/>
    <w:rsid w:val="00886850"/>
    <w:rsid w:val="008905EC"/>
    <w:rsid w:val="00891DD0"/>
    <w:rsid w:val="00892274"/>
    <w:rsid w:val="0089246E"/>
    <w:rsid w:val="00892895"/>
    <w:rsid w:val="0089434C"/>
    <w:rsid w:val="008965D3"/>
    <w:rsid w:val="008974B7"/>
    <w:rsid w:val="008A0F78"/>
    <w:rsid w:val="008A1EE1"/>
    <w:rsid w:val="008A470A"/>
    <w:rsid w:val="008A5A50"/>
    <w:rsid w:val="008A6196"/>
    <w:rsid w:val="008A7580"/>
    <w:rsid w:val="008B0AD9"/>
    <w:rsid w:val="008B0F6E"/>
    <w:rsid w:val="008B2B30"/>
    <w:rsid w:val="008B4031"/>
    <w:rsid w:val="008B5773"/>
    <w:rsid w:val="008C3CC2"/>
    <w:rsid w:val="008C41D3"/>
    <w:rsid w:val="008C528A"/>
    <w:rsid w:val="008C5C57"/>
    <w:rsid w:val="008C5CE6"/>
    <w:rsid w:val="008D2D4C"/>
    <w:rsid w:val="008D5BEC"/>
    <w:rsid w:val="008D7A57"/>
    <w:rsid w:val="008E28BD"/>
    <w:rsid w:val="008E36A9"/>
    <w:rsid w:val="008E3712"/>
    <w:rsid w:val="008E399A"/>
    <w:rsid w:val="008E51CC"/>
    <w:rsid w:val="008E5D0F"/>
    <w:rsid w:val="008F038F"/>
    <w:rsid w:val="008F111C"/>
    <w:rsid w:val="008F182A"/>
    <w:rsid w:val="008F4DF9"/>
    <w:rsid w:val="008F6B41"/>
    <w:rsid w:val="00901596"/>
    <w:rsid w:val="009015C6"/>
    <w:rsid w:val="00902F4E"/>
    <w:rsid w:val="00903C2F"/>
    <w:rsid w:val="00904AAB"/>
    <w:rsid w:val="00907FFA"/>
    <w:rsid w:val="00914ECD"/>
    <w:rsid w:val="00916BE3"/>
    <w:rsid w:val="0092026A"/>
    <w:rsid w:val="00922D00"/>
    <w:rsid w:val="00922D30"/>
    <w:rsid w:val="0092667C"/>
    <w:rsid w:val="0092683E"/>
    <w:rsid w:val="009269B5"/>
    <w:rsid w:val="00930CD8"/>
    <w:rsid w:val="009320AA"/>
    <w:rsid w:val="00937951"/>
    <w:rsid w:val="0094186D"/>
    <w:rsid w:val="00941B3D"/>
    <w:rsid w:val="0094278B"/>
    <w:rsid w:val="009447C0"/>
    <w:rsid w:val="0094561E"/>
    <w:rsid w:val="009520A7"/>
    <w:rsid w:val="00956F10"/>
    <w:rsid w:val="00961BA5"/>
    <w:rsid w:val="00964EF5"/>
    <w:rsid w:val="00982D15"/>
    <w:rsid w:val="0098445B"/>
    <w:rsid w:val="009863D7"/>
    <w:rsid w:val="00987277"/>
    <w:rsid w:val="00987A06"/>
    <w:rsid w:val="00992105"/>
    <w:rsid w:val="009971B4"/>
    <w:rsid w:val="009979BE"/>
    <w:rsid w:val="009A2EF6"/>
    <w:rsid w:val="009A321B"/>
    <w:rsid w:val="009A4E47"/>
    <w:rsid w:val="009B1CF1"/>
    <w:rsid w:val="009B2182"/>
    <w:rsid w:val="009B2B64"/>
    <w:rsid w:val="009B541B"/>
    <w:rsid w:val="009B5590"/>
    <w:rsid w:val="009C04F8"/>
    <w:rsid w:val="009C184E"/>
    <w:rsid w:val="009C3267"/>
    <w:rsid w:val="009C4D8E"/>
    <w:rsid w:val="009C77F3"/>
    <w:rsid w:val="009D1F70"/>
    <w:rsid w:val="009D24FD"/>
    <w:rsid w:val="009D3C02"/>
    <w:rsid w:val="009D428D"/>
    <w:rsid w:val="009D7633"/>
    <w:rsid w:val="009E5C35"/>
    <w:rsid w:val="009E6094"/>
    <w:rsid w:val="009E790D"/>
    <w:rsid w:val="009F090C"/>
    <w:rsid w:val="009F0967"/>
    <w:rsid w:val="009F1033"/>
    <w:rsid w:val="009F42B1"/>
    <w:rsid w:val="009F5176"/>
    <w:rsid w:val="009F672B"/>
    <w:rsid w:val="00A00E5E"/>
    <w:rsid w:val="00A05B58"/>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C5CBD"/>
    <w:rsid w:val="00AC61E0"/>
    <w:rsid w:val="00AD224C"/>
    <w:rsid w:val="00AD7F51"/>
    <w:rsid w:val="00AE1AAF"/>
    <w:rsid w:val="00AE5AF9"/>
    <w:rsid w:val="00AF2401"/>
    <w:rsid w:val="00AF4177"/>
    <w:rsid w:val="00AF5BC4"/>
    <w:rsid w:val="00B02E8D"/>
    <w:rsid w:val="00B03D34"/>
    <w:rsid w:val="00B0617A"/>
    <w:rsid w:val="00B12CD1"/>
    <w:rsid w:val="00B13CBD"/>
    <w:rsid w:val="00B229A4"/>
    <w:rsid w:val="00B24B83"/>
    <w:rsid w:val="00B25010"/>
    <w:rsid w:val="00B332E2"/>
    <w:rsid w:val="00B34485"/>
    <w:rsid w:val="00B377BF"/>
    <w:rsid w:val="00B41737"/>
    <w:rsid w:val="00B427D5"/>
    <w:rsid w:val="00B4315B"/>
    <w:rsid w:val="00B452F6"/>
    <w:rsid w:val="00B45E95"/>
    <w:rsid w:val="00B47318"/>
    <w:rsid w:val="00B50689"/>
    <w:rsid w:val="00B51156"/>
    <w:rsid w:val="00B54EDB"/>
    <w:rsid w:val="00B6258B"/>
    <w:rsid w:val="00B6499C"/>
    <w:rsid w:val="00B66FB9"/>
    <w:rsid w:val="00B67611"/>
    <w:rsid w:val="00B71445"/>
    <w:rsid w:val="00B71D88"/>
    <w:rsid w:val="00B7415E"/>
    <w:rsid w:val="00B80F2D"/>
    <w:rsid w:val="00B82AA7"/>
    <w:rsid w:val="00B91D6A"/>
    <w:rsid w:val="00B964E5"/>
    <w:rsid w:val="00BA67E1"/>
    <w:rsid w:val="00BA75E7"/>
    <w:rsid w:val="00BB630E"/>
    <w:rsid w:val="00BB7E12"/>
    <w:rsid w:val="00BD7F78"/>
    <w:rsid w:val="00BE206B"/>
    <w:rsid w:val="00BE601E"/>
    <w:rsid w:val="00BE7B4A"/>
    <w:rsid w:val="00BF26C9"/>
    <w:rsid w:val="00BF3A8D"/>
    <w:rsid w:val="00BF4AA3"/>
    <w:rsid w:val="00BF6F27"/>
    <w:rsid w:val="00C054C8"/>
    <w:rsid w:val="00C07356"/>
    <w:rsid w:val="00C14112"/>
    <w:rsid w:val="00C204F0"/>
    <w:rsid w:val="00C242A2"/>
    <w:rsid w:val="00C364E6"/>
    <w:rsid w:val="00C40593"/>
    <w:rsid w:val="00C41096"/>
    <w:rsid w:val="00C45775"/>
    <w:rsid w:val="00C50232"/>
    <w:rsid w:val="00C51BD7"/>
    <w:rsid w:val="00C531A3"/>
    <w:rsid w:val="00C53C01"/>
    <w:rsid w:val="00C55047"/>
    <w:rsid w:val="00C5791C"/>
    <w:rsid w:val="00C579BC"/>
    <w:rsid w:val="00C64E84"/>
    <w:rsid w:val="00C6754F"/>
    <w:rsid w:val="00C71FC9"/>
    <w:rsid w:val="00C72827"/>
    <w:rsid w:val="00C72ECA"/>
    <w:rsid w:val="00C73259"/>
    <w:rsid w:val="00C74E97"/>
    <w:rsid w:val="00C75108"/>
    <w:rsid w:val="00C763B5"/>
    <w:rsid w:val="00C8104F"/>
    <w:rsid w:val="00C82CF5"/>
    <w:rsid w:val="00C86553"/>
    <w:rsid w:val="00C869C6"/>
    <w:rsid w:val="00C93A19"/>
    <w:rsid w:val="00C9460F"/>
    <w:rsid w:val="00C97076"/>
    <w:rsid w:val="00CA0134"/>
    <w:rsid w:val="00CA6B98"/>
    <w:rsid w:val="00CA6C69"/>
    <w:rsid w:val="00CB267B"/>
    <w:rsid w:val="00CB4F21"/>
    <w:rsid w:val="00CB5C12"/>
    <w:rsid w:val="00CB676B"/>
    <w:rsid w:val="00CC177E"/>
    <w:rsid w:val="00CC269F"/>
    <w:rsid w:val="00CC3B85"/>
    <w:rsid w:val="00CC5D9C"/>
    <w:rsid w:val="00CC5DE5"/>
    <w:rsid w:val="00CC6EAB"/>
    <w:rsid w:val="00CC7349"/>
    <w:rsid w:val="00CC7FE4"/>
    <w:rsid w:val="00CD5625"/>
    <w:rsid w:val="00CD5C52"/>
    <w:rsid w:val="00CD6B27"/>
    <w:rsid w:val="00CD726E"/>
    <w:rsid w:val="00CD7D78"/>
    <w:rsid w:val="00CE38A2"/>
    <w:rsid w:val="00CF39A8"/>
    <w:rsid w:val="00D02937"/>
    <w:rsid w:val="00D052CF"/>
    <w:rsid w:val="00D059D9"/>
    <w:rsid w:val="00D06B9A"/>
    <w:rsid w:val="00D075ED"/>
    <w:rsid w:val="00D07F84"/>
    <w:rsid w:val="00D107C1"/>
    <w:rsid w:val="00D129A2"/>
    <w:rsid w:val="00D1381A"/>
    <w:rsid w:val="00D14A2A"/>
    <w:rsid w:val="00D23DB8"/>
    <w:rsid w:val="00D25627"/>
    <w:rsid w:val="00D26795"/>
    <w:rsid w:val="00D27853"/>
    <w:rsid w:val="00D31C00"/>
    <w:rsid w:val="00D32533"/>
    <w:rsid w:val="00D347AB"/>
    <w:rsid w:val="00D35953"/>
    <w:rsid w:val="00D37FE7"/>
    <w:rsid w:val="00D405F0"/>
    <w:rsid w:val="00D44887"/>
    <w:rsid w:val="00D44C1D"/>
    <w:rsid w:val="00D53E09"/>
    <w:rsid w:val="00D554D4"/>
    <w:rsid w:val="00D5619F"/>
    <w:rsid w:val="00D60B94"/>
    <w:rsid w:val="00D652A0"/>
    <w:rsid w:val="00D65CE3"/>
    <w:rsid w:val="00D65F80"/>
    <w:rsid w:val="00D722F2"/>
    <w:rsid w:val="00D724DC"/>
    <w:rsid w:val="00D7383C"/>
    <w:rsid w:val="00D804AE"/>
    <w:rsid w:val="00D91909"/>
    <w:rsid w:val="00D96A4D"/>
    <w:rsid w:val="00D97A1C"/>
    <w:rsid w:val="00DA0CDF"/>
    <w:rsid w:val="00DA1767"/>
    <w:rsid w:val="00DA1EBC"/>
    <w:rsid w:val="00DA5519"/>
    <w:rsid w:val="00DA715F"/>
    <w:rsid w:val="00DA77E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251"/>
    <w:rsid w:val="00E00F78"/>
    <w:rsid w:val="00E03E80"/>
    <w:rsid w:val="00E10013"/>
    <w:rsid w:val="00E12CEB"/>
    <w:rsid w:val="00E13D20"/>
    <w:rsid w:val="00E1644C"/>
    <w:rsid w:val="00E2065A"/>
    <w:rsid w:val="00E20C2F"/>
    <w:rsid w:val="00E240C8"/>
    <w:rsid w:val="00E27D28"/>
    <w:rsid w:val="00E32141"/>
    <w:rsid w:val="00E33CAE"/>
    <w:rsid w:val="00E355AE"/>
    <w:rsid w:val="00E36433"/>
    <w:rsid w:val="00E369EF"/>
    <w:rsid w:val="00E3749A"/>
    <w:rsid w:val="00E40790"/>
    <w:rsid w:val="00E41263"/>
    <w:rsid w:val="00E516CE"/>
    <w:rsid w:val="00E516F5"/>
    <w:rsid w:val="00E65345"/>
    <w:rsid w:val="00E751A9"/>
    <w:rsid w:val="00E76258"/>
    <w:rsid w:val="00E838F8"/>
    <w:rsid w:val="00E84585"/>
    <w:rsid w:val="00E935E4"/>
    <w:rsid w:val="00E937D9"/>
    <w:rsid w:val="00E94825"/>
    <w:rsid w:val="00E95660"/>
    <w:rsid w:val="00EA092A"/>
    <w:rsid w:val="00EA4F6F"/>
    <w:rsid w:val="00EB02AD"/>
    <w:rsid w:val="00EB1289"/>
    <w:rsid w:val="00EB1B43"/>
    <w:rsid w:val="00EB2EF2"/>
    <w:rsid w:val="00EB2F43"/>
    <w:rsid w:val="00EB5E3A"/>
    <w:rsid w:val="00EC2726"/>
    <w:rsid w:val="00ED019F"/>
    <w:rsid w:val="00ED4B82"/>
    <w:rsid w:val="00ED505D"/>
    <w:rsid w:val="00ED6FAC"/>
    <w:rsid w:val="00EE058E"/>
    <w:rsid w:val="00EE0DAA"/>
    <w:rsid w:val="00EE4798"/>
    <w:rsid w:val="00EE6A8C"/>
    <w:rsid w:val="00EE6BDB"/>
    <w:rsid w:val="00EF624C"/>
    <w:rsid w:val="00EF6B92"/>
    <w:rsid w:val="00F02859"/>
    <w:rsid w:val="00F05D12"/>
    <w:rsid w:val="00F12F6F"/>
    <w:rsid w:val="00F17D37"/>
    <w:rsid w:val="00F204C1"/>
    <w:rsid w:val="00F210B1"/>
    <w:rsid w:val="00F214B1"/>
    <w:rsid w:val="00F22958"/>
    <w:rsid w:val="00F22F5B"/>
    <w:rsid w:val="00F261BB"/>
    <w:rsid w:val="00F2756A"/>
    <w:rsid w:val="00F367BC"/>
    <w:rsid w:val="00F44446"/>
    <w:rsid w:val="00F4509D"/>
    <w:rsid w:val="00F51746"/>
    <w:rsid w:val="00F553DE"/>
    <w:rsid w:val="00F64F2F"/>
    <w:rsid w:val="00F704A8"/>
    <w:rsid w:val="00F725F7"/>
    <w:rsid w:val="00F72A4C"/>
    <w:rsid w:val="00F81C3B"/>
    <w:rsid w:val="00F86A43"/>
    <w:rsid w:val="00F924AC"/>
    <w:rsid w:val="00F939DB"/>
    <w:rsid w:val="00F97685"/>
    <w:rsid w:val="00FA3261"/>
    <w:rsid w:val="00FA57DA"/>
    <w:rsid w:val="00FA5B67"/>
    <w:rsid w:val="00FA6971"/>
    <w:rsid w:val="00FA746B"/>
    <w:rsid w:val="00FA7FCB"/>
    <w:rsid w:val="00FB39DC"/>
    <w:rsid w:val="00FB5788"/>
    <w:rsid w:val="00FC02F2"/>
    <w:rsid w:val="00FC226E"/>
    <w:rsid w:val="00FC317A"/>
    <w:rsid w:val="00FC329D"/>
    <w:rsid w:val="00FC42D6"/>
    <w:rsid w:val="00FC4536"/>
    <w:rsid w:val="00FC5E20"/>
    <w:rsid w:val="00FC6C94"/>
    <w:rsid w:val="00FD4E92"/>
    <w:rsid w:val="00FE08E6"/>
    <w:rsid w:val="00FE1F04"/>
    <w:rsid w:val="00FE366F"/>
    <w:rsid w:val="00FE6E08"/>
    <w:rsid w:val="00FE7C9B"/>
    <w:rsid w:val="00FF2F31"/>
    <w:rsid w:val="00FF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footnote reference"/>
    <w:basedOn w:val="a0"/>
    <w:uiPriority w:val="99"/>
    <w:semiHidden/>
    <w:unhideWhenUsed/>
    <w:rsid w:val="00FD4E92"/>
    <w:rPr>
      <w:vertAlign w:val="superscript"/>
    </w:rPr>
  </w:style>
  <w:style w:type="paragraph" w:customStyle="1" w:styleId="Default">
    <w:name w:val="Default"/>
    <w:rsid w:val="008C5CE6"/>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annotation reference"/>
    <w:basedOn w:val="a0"/>
    <w:uiPriority w:val="99"/>
    <w:semiHidden/>
    <w:unhideWhenUsed/>
    <w:rsid w:val="0065138C"/>
    <w:rPr>
      <w:sz w:val="16"/>
      <w:szCs w:val="16"/>
    </w:rPr>
  </w:style>
  <w:style w:type="paragraph" w:styleId="af1">
    <w:name w:val="annotation text"/>
    <w:basedOn w:val="a"/>
    <w:link w:val="af2"/>
    <w:uiPriority w:val="99"/>
    <w:semiHidden/>
    <w:unhideWhenUsed/>
    <w:rsid w:val="0065138C"/>
  </w:style>
  <w:style w:type="character" w:customStyle="1" w:styleId="af2">
    <w:name w:val="Текст примечания Знак"/>
    <w:basedOn w:val="a0"/>
    <w:link w:val="af1"/>
    <w:uiPriority w:val="99"/>
    <w:semiHidden/>
    <w:rsid w:val="0065138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5138C"/>
    <w:rPr>
      <w:b/>
      <w:bCs/>
    </w:rPr>
  </w:style>
  <w:style w:type="character" w:customStyle="1" w:styleId="af4">
    <w:name w:val="Тема примечания Знак"/>
    <w:basedOn w:val="af2"/>
    <w:link w:val="af3"/>
    <w:uiPriority w:val="99"/>
    <w:semiHidden/>
    <w:rsid w:val="0065138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 w:type="character" w:styleId="af">
    <w:name w:val="footnote reference"/>
    <w:basedOn w:val="a0"/>
    <w:uiPriority w:val="99"/>
    <w:semiHidden/>
    <w:unhideWhenUsed/>
    <w:rsid w:val="00FD4E92"/>
    <w:rPr>
      <w:vertAlign w:val="superscript"/>
    </w:rPr>
  </w:style>
  <w:style w:type="paragraph" w:customStyle="1" w:styleId="Default">
    <w:name w:val="Default"/>
    <w:rsid w:val="008C5CE6"/>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annotation reference"/>
    <w:basedOn w:val="a0"/>
    <w:uiPriority w:val="99"/>
    <w:semiHidden/>
    <w:unhideWhenUsed/>
    <w:rsid w:val="0065138C"/>
    <w:rPr>
      <w:sz w:val="16"/>
      <w:szCs w:val="16"/>
    </w:rPr>
  </w:style>
  <w:style w:type="paragraph" w:styleId="af1">
    <w:name w:val="annotation text"/>
    <w:basedOn w:val="a"/>
    <w:link w:val="af2"/>
    <w:uiPriority w:val="99"/>
    <w:semiHidden/>
    <w:unhideWhenUsed/>
    <w:rsid w:val="0065138C"/>
  </w:style>
  <w:style w:type="character" w:customStyle="1" w:styleId="af2">
    <w:name w:val="Текст примечания Знак"/>
    <w:basedOn w:val="a0"/>
    <w:link w:val="af1"/>
    <w:uiPriority w:val="99"/>
    <w:semiHidden/>
    <w:rsid w:val="0065138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5138C"/>
    <w:rPr>
      <w:b/>
      <w:bCs/>
    </w:rPr>
  </w:style>
  <w:style w:type="character" w:customStyle="1" w:styleId="af4">
    <w:name w:val="Тема примечания Знак"/>
    <w:basedOn w:val="af2"/>
    <w:link w:val="af3"/>
    <w:uiPriority w:val="99"/>
    <w:semiHidden/>
    <w:rsid w:val="0065138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167E-9672-4411-B5F6-0F1AAD9C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cp:revision>
  <cp:lastPrinted>2020-03-18T11:23:00Z</cp:lastPrinted>
  <dcterms:created xsi:type="dcterms:W3CDTF">2020-12-29T09:15:00Z</dcterms:created>
  <dcterms:modified xsi:type="dcterms:W3CDTF">2020-12-29T09:15:00Z</dcterms:modified>
</cp:coreProperties>
</file>